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400" w:firstRow="0" w:lastRow="0" w:firstColumn="0" w:lastColumn="0" w:noHBand="0" w:noVBand="1"/>
      </w:tblPr>
      <w:tblGrid>
        <w:gridCol w:w="3237"/>
        <w:gridCol w:w="3238"/>
        <w:gridCol w:w="5400"/>
        <w:gridCol w:w="3245"/>
      </w:tblGrid>
      <w:tr w:rsidR="00C04FC8" w:rsidRPr="00174F64" w:rsidTr="005435F4">
        <w:tc>
          <w:tcPr>
            <w:tcW w:w="3237" w:type="dxa"/>
            <w:shd w:val="clear" w:color="auto" w:fill="A6A6A6"/>
          </w:tcPr>
          <w:p w:rsidR="00DA56D4" w:rsidRPr="00174F64" w:rsidRDefault="00F1722A">
            <w:pPr>
              <w:contextualSpacing w:val="0"/>
              <w:jc w:val="center"/>
              <w:rPr>
                <w:sz w:val="24"/>
                <w:szCs w:val="24"/>
              </w:rPr>
            </w:pPr>
            <w:r w:rsidRPr="00174F64">
              <w:rPr>
                <w:rFonts w:ascii="Garamond" w:eastAsia="Garamond" w:hAnsi="Garamond" w:cs="Garamond"/>
                <w:b/>
                <w:sz w:val="24"/>
                <w:szCs w:val="24"/>
              </w:rPr>
              <w:t>1 - BEGINNING</w:t>
            </w:r>
          </w:p>
        </w:tc>
        <w:tc>
          <w:tcPr>
            <w:tcW w:w="3238" w:type="dxa"/>
            <w:shd w:val="clear" w:color="auto" w:fill="A6A6A6"/>
          </w:tcPr>
          <w:p w:rsidR="00DA56D4" w:rsidRPr="00174F64" w:rsidRDefault="00F1722A">
            <w:pPr>
              <w:contextualSpacing w:val="0"/>
              <w:jc w:val="center"/>
              <w:rPr>
                <w:sz w:val="24"/>
                <w:szCs w:val="24"/>
              </w:rPr>
            </w:pPr>
            <w:r w:rsidRPr="00174F64">
              <w:rPr>
                <w:rFonts w:ascii="Garamond" w:eastAsia="Garamond" w:hAnsi="Garamond" w:cs="Garamond"/>
                <w:b/>
                <w:sz w:val="24"/>
                <w:szCs w:val="24"/>
              </w:rPr>
              <w:t>2 - DEVELOPING</w:t>
            </w:r>
          </w:p>
        </w:tc>
        <w:tc>
          <w:tcPr>
            <w:tcW w:w="5400" w:type="dxa"/>
            <w:shd w:val="clear" w:color="auto" w:fill="A6A6A6"/>
          </w:tcPr>
          <w:p w:rsidR="00DA56D4" w:rsidRPr="00174F64" w:rsidRDefault="00F1722A">
            <w:pPr>
              <w:contextualSpacing w:val="0"/>
              <w:jc w:val="center"/>
              <w:rPr>
                <w:sz w:val="24"/>
                <w:szCs w:val="24"/>
              </w:rPr>
            </w:pPr>
            <w:r w:rsidRPr="00174F64">
              <w:rPr>
                <w:rFonts w:ascii="Garamond" w:eastAsia="Garamond" w:hAnsi="Garamond" w:cs="Garamond"/>
                <w:b/>
                <w:sz w:val="24"/>
                <w:szCs w:val="24"/>
              </w:rPr>
              <w:t>3 - ACCEPTABLE</w:t>
            </w:r>
          </w:p>
        </w:tc>
        <w:tc>
          <w:tcPr>
            <w:tcW w:w="3245" w:type="dxa"/>
            <w:shd w:val="clear" w:color="auto" w:fill="A6A6A6"/>
          </w:tcPr>
          <w:p w:rsidR="00DA56D4" w:rsidRPr="00174F64" w:rsidRDefault="00F1722A">
            <w:pPr>
              <w:contextualSpacing w:val="0"/>
              <w:jc w:val="center"/>
              <w:rPr>
                <w:sz w:val="24"/>
                <w:szCs w:val="24"/>
              </w:rPr>
            </w:pPr>
            <w:r w:rsidRPr="00174F64">
              <w:rPr>
                <w:rFonts w:ascii="Garamond" w:eastAsia="Garamond" w:hAnsi="Garamond" w:cs="Garamond"/>
                <w:b/>
                <w:sz w:val="24"/>
                <w:szCs w:val="24"/>
              </w:rPr>
              <w:t>4 - EXEMPLARY</w:t>
            </w:r>
          </w:p>
        </w:tc>
      </w:tr>
      <w:tr w:rsidR="00DA56D4" w:rsidRPr="00174F64" w:rsidTr="00C04FC8">
        <w:tc>
          <w:tcPr>
            <w:tcW w:w="15120" w:type="dxa"/>
            <w:gridSpan w:val="4"/>
            <w:shd w:val="clear" w:color="auto" w:fill="D9D9D9"/>
            <w:vAlign w:val="center"/>
          </w:tcPr>
          <w:p w:rsidR="00E101D5" w:rsidRPr="00174F64" w:rsidRDefault="00E101D5">
            <w:pPr>
              <w:contextualSpacing w:val="0"/>
              <w:rPr>
                <w:rFonts w:ascii="Garamond" w:eastAsia="Garamond" w:hAnsi="Garamond" w:cs="Garamond"/>
                <w:b/>
                <w:sz w:val="20"/>
                <w:szCs w:val="20"/>
              </w:rPr>
            </w:pPr>
            <w:r w:rsidRPr="00174F64">
              <w:rPr>
                <w:rFonts w:ascii="Garamond" w:eastAsia="Garamond" w:hAnsi="Garamond" w:cs="Garamond"/>
                <w:b/>
                <w:sz w:val="20"/>
                <w:szCs w:val="20"/>
              </w:rPr>
              <w:t>A. MISSION STATEMENT</w:t>
            </w:r>
          </w:p>
          <w:p w:rsidR="00DA56D4" w:rsidRPr="005F2E09" w:rsidRDefault="00F1722A">
            <w:pPr>
              <w:contextualSpacing w:val="0"/>
              <w:rPr>
                <w:sz w:val="18"/>
                <w:szCs w:val="18"/>
              </w:rPr>
            </w:pPr>
            <w:r w:rsidRPr="005F2E09">
              <w:rPr>
                <w:rFonts w:ascii="Garamond" w:eastAsia="Garamond" w:hAnsi="Garamond" w:cs="Garamond"/>
                <w:b/>
                <w:sz w:val="18"/>
                <w:szCs w:val="18"/>
              </w:rPr>
              <w:t xml:space="preserve">Clear, concise statement outlining the ultimate principles that guide the work of the program, </w:t>
            </w:r>
            <w:r w:rsidR="005F2E09" w:rsidRPr="005F2E09">
              <w:rPr>
                <w:rFonts w:ascii="Garamond" w:eastAsia="Garamond" w:hAnsi="Garamond" w:cs="Garamond"/>
                <w:b/>
                <w:sz w:val="18"/>
                <w:szCs w:val="18"/>
              </w:rPr>
              <w:t>who it serves, in what ways, &amp;</w:t>
            </w:r>
            <w:r w:rsidRPr="005F2E09">
              <w:rPr>
                <w:rFonts w:ascii="Garamond" w:eastAsia="Garamond" w:hAnsi="Garamond" w:cs="Garamond"/>
                <w:b/>
                <w:sz w:val="18"/>
                <w:szCs w:val="18"/>
              </w:rPr>
              <w:t xml:space="preserve"> with what results</w:t>
            </w:r>
          </w:p>
        </w:tc>
      </w:tr>
      <w:tr w:rsidR="00C04FC8" w:rsidTr="005435F4">
        <w:tc>
          <w:tcPr>
            <w:tcW w:w="3237" w:type="dxa"/>
          </w:tcPr>
          <w:p w:rsidR="00DA56D4" w:rsidRDefault="00F1722A">
            <w:pPr>
              <w:numPr>
                <w:ilvl w:val="0"/>
                <w:numId w:val="3"/>
              </w:numPr>
              <w:ind w:hanging="144"/>
            </w:pPr>
            <w:r>
              <w:rPr>
                <w:rFonts w:ascii="Garamond" w:eastAsia="Garamond" w:hAnsi="Garamond" w:cs="Garamond"/>
                <w:sz w:val="18"/>
                <w:szCs w:val="18"/>
              </w:rPr>
              <w:t>Statement pertains only to the department and does not specifically address the academic program, or does not clearly distinguish between the missions of the department and academic program.</w:t>
            </w:r>
          </w:p>
        </w:tc>
        <w:tc>
          <w:tcPr>
            <w:tcW w:w="3238" w:type="dxa"/>
          </w:tcPr>
          <w:p w:rsidR="0001610C" w:rsidRPr="0001610C" w:rsidRDefault="00F1722A">
            <w:pPr>
              <w:numPr>
                <w:ilvl w:val="0"/>
                <w:numId w:val="3"/>
              </w:numPr>
              <w:ind w:hanging="144"/>
              <w:rPr>
                <w:rFonts w:ascii="Garamond" w:hAnsi="Garamond"/>
                <w:sz w:val="18"/>
              </w:rPr>
            </w:pPr>
            <w:r>
              <w:rPr>
                <w:rFonts w:ascii="Garamond" w:eastAsia="Garamond" w:hAnsi="Garamond" w:cs="Garamond"/>
                <w:sz w:val="18"/>
                <w:szCs w:val="18"/>
              </w:rPr>
              <w:t>Statement is directly related to the academic program (not the department).</w:t>
            </w:r>
          </w:p>
          <w:p w:rsidR="00DA56D4" w:rsidRDefault="00F1722A">
            <w:pPr>
              <w:numPr>
                <w:ilvl w:val="0"/>
                <w:numId w:val="3"/>
              </w:numPr>
              <w:ind w:hanging="144"/>
            </w:pPr>
            <w:r>
              <w:rPr>
                <w:rFonts w:ascii="Garamond" w:eastAsia="Garamond" w:hAnsi="Garamond" w:cs="Garamond"/>
                <w:sz w:val="18"/>
                <w:szCs w:val="18"/>
              </w:rPr>
              <w:t>Statement addresses the purpose, primary activities, and whom the program serves.</w:t>
            </w:r>
          </w:p>
        </w:tc>
        <w:tc>
          <w:tcPr>
            <w:tcW w:w="5400" w:type="dxa"/>
          </w:tcPr>
          <w:p w:rsidR="0001610C" w:rsidRPr="0001610C" w:rsidRDefault="00F1722A">
            <w:pPr>
              <w:numPr>
                <w:ilvl w:val="0"/>
                <w:numId w:val="3"/>
              </w:numPr>
              <w:ind w:hanging="144"/>
              <w:rPr>
                <w:rFonts w:ascii="Garamond" w:hAnsi="Garamond"/>
                <w:sz w:val="18"/>
              </w:rPr>
            </w:pPr>
            <w:r>
              <w:rPr>
                <w:rFonts w:ascii="Garamond" w:eastAsia="Garamond" w:hAnsi="Garamond" w:cs="Garamond"/>
                <w:sz w:val="18"/>
                <w:szCs w:val="18"/>
              </w:rPr>
              <w:t>Statement is aligned with the institutional mission.</w:t>
            </w:r>
          </w:p>
          <w:p w:rsidR="00DA56D4" w:rsidRDefault="00F1722A" w:rsidP="00E101D5">
            <w:pPr>
              <w:numPr>
                <w:ilvl w:val="0"/>
                <w:numId w:val="3"/>
              </w:numPr>
              <w:ind w:hanging="144"/>
              <w:rPr>
                <w:sz w:val="18"/>
                <w:szCs w:val="18"/>
              </w:rPr>
            </w:pPr>
            <w:r>
              <w:rPr>
                <w:rFonts w:ascii="Garamond" w:eastAsia="Garamond" w:hAnsi="Garamond" w:cs="Garamond"/>
                <w:sz w:val="18"/>
                <w:szCs w:val="18"/>
              </w:rPr>
              <w:t>Statement is understandable to internal and external stakeholders (clear language).</w:t>
            </w:r>
          </w:p>
        </w:tc>
        <w:tc>
          <w:tcPr>
            <w:tcW w:w="3245" w:type="dxa"/>
          </w:tcPr>
          <w:p w:rsidR="0001610C" w:rsidRPr="0001610C" w:rsidRDefault="00F1722A">
            <w:pPr>
              <w:numPr>
                <w:ilvl w:val="0"/>
                <w:numId w:val="3"/>
              </w:numPr>
              <w:ind w:hanging="144"/>
              <w:rPr>
                <w:rFonts w:ascii="Garamond" w:hAnsi="Garamond"/>
                <w:sz w:val="18"/>
              </w:rPr>
            </w:pPr>
            <w:r>
              <w:rPr>
                <w:rFonts w:ascii="Garamond" w:eastAsia="Garamond" w:hAnsi="Garamond" w:cs="Garamond"/>
                <w:sz w:val="18"/>
                <w:szCs w:val="18"/>
              </w:rPr>
              <w:t>Statement identifies program goals and/or activities that impact specific elements of the institutional mission.</w:t>
            </w:r>
          </w:p>
          <w:p w:rsidR="00DA56D4" w:rsidRDefault="00F1722A">
            <w:pPr>
              <w:numPr>
                <w:ilvl w:val="0"/>
                <w:numId w:val="3"/>
              </w:numPr>
              <w:ind w:hanging="144"/>
            </w:pPr>
            <w:r>
              <w:rPr>
                <w:rFonts w:ascii="Garamond" w:eastAsia="Garamond" w:hAnsi="Garamond" w:cs="Garamond"/>
                <w:sz w:val="18"/>
                <w:szCs w:val="18"/>
              </w:rPr>
              <w:t>Statement is aligned with the standards of an external professional organization, if applicable.</w:t>
            </w:r>
          </w:p>
        </w:tc>
      </w:tr>
      <w:tr w:rsidR="00DA56D4" w:rsidRPr="00174F64" w:rsidTr="00C04FC8">
        <w:tc>
          <w:tcPr>
            <w:tcW w:w="15120" w:type="dxa"/>
            <w:gridSpan w:val="4"/>
            <w:shd w:val="clear" w:color="auto" w:fill="D9D9D9"/>
            <w:vAlign w:val="center"/>
          </w:tcPr>
          <w:p w:rsidR="00E101D5" w:rsidRPr="00174F64" w:rsidRDefault="00E101D5">
            <w:pPr>
              <w:contextualSpacing w:val="0"/>
              <w:rPr>
                <w:rFonts w:ascii="Garamond" w:eastAsia="Garamond" w:hAnsi="Garamond" w:cs="Garamond"/>
                <w:b/>
                <w:sz w:val="20"/>
                <w:szCs w:val="20"/>
              </w:rPr>
            </w:pPr>
            <w:r w:rsidRPr="00174F64">
              <w:rPr>
                <w:rFonts w:ascii="Garamond" w:eastAsia="Garamond" w:hAnsi="Garamond" w:cs="Garamond"/>
                <w:b/>
                <w:sz w:val="20"/>
                <w:szCs w:val="20"/>
              </w:rPr>
              <w:t>B. STUDENT LEARNING OUTCOMES</w:t>
            </w:r>
          </w:p>
          <w:p w:rsidR="00DA56D4" w:rsidRPr="005F2E09" w:rsidRDefault="00F1722A">
            <w:pPr>
              <w:contextualSpacing w:val="0"/>
              <w:rPr>
                <w:rFonts w:ascii="Garamond" w:eastAsia="Garamond" w:hAnsi="Garamond" w:cs="Garamond"/>
                <w:b/>
                <w:sz w:val="18"/>
                <w:szCs w:val="18"/>
              </w:rPr>
            </w:pPr>
            <w:r w:rsidRPr="005F2E09">
              <w:rPr>
                <w:rFonts w:ascii="Garamond" w:eastAsia="Garamond" w:hAnsi="Garamond" w:cs="Garamond"/>
                <w:b/>
                <w:sz w:val="18"/>
                <w:szCs w:val="18"/>
              </w:rPr>
              <w:t>Specific statements that articulate the discipline-specific content, skills, and/or dispositions students should gain or improve through engagement in the program</w:t>
            </w:r>
          </w:p>
        </w:tc>
      </w:tr>
      <w:tr w:rsidR="00C04FC8" w:rsidTr="00940EDD">
        <w:trPr>
          <w:trHeight w:val="3185"/>
        </w:trPr>
        <w:tc>
          <w:tcPr>
            <w:tcW w:w="3237" w:type="dxa"/>
            <w:shd w:val="clear" w:color="auto" w:fill="FFFFFF"/>
          </w:tcPr>
          <w:p w:rsidR="0001610C" w:rsidRPr="0001610C" w:rsidRDefault="00F1722A" w:rsidP="00041B35">
            <w:pPr>
              <w:numPr>
                <w:ilvl w:val="0"/>
                <w:numId w:val="4"/>
              </w:numPr>
              <w:ind w:hanging="144"/>
              <w:rPr>
                <w:rFonts w:ascii="Garamond" w:eastAsia="Garamond" w:hAnsi="Garamond" w:cs="Garamond"/>
                <w:sz w:val="18"/>
                <w:szCs w:val="18"/>
              </w:rPr>
            </w:pPr>
            <w:bookmarkStart w:id="0" w:name="_gjdgxs" w:colFirst="0" w:colLast="0"/>
            <w:bookmarkEnd w:id="0"/>
            <w:r>
              <w:rPr>
                <w:rFonts w:ascii="Garamond" w:eastAsia="Garamond" w:hAnsi="Garamond" w:cs="Garamond"/>
                <w:color w:val="333333"/>
                <w:sz w:val="18"/>
                <w:szCs w:val="18"/>
                <w:highlight w:val="white"/>
              </w:rPr>
              <w:t>SLO does not specify what group of students will achieve mastery of it, and/or at what point(s) in their progression through the program they will do so.</w:t>
            </w:r>
          </w:p>
          <w:p w:rsidR="0001610C" w:rsidRPr="0001610C" w:rsidRDefault="00F1722A" w:rsidP="00041B35">
            <w:pPr>
              <w:numPr>
                <w:ilvl w:val="0"/>
                <w:numId w:val="4"/>
              </w:numPr>
              <w:ind w:hanging="144"/>
              <w:rPr>
                <w:rFonts w:ascii="Garamond" w:hAnsi="Garamond"/>
                <w:sz w:val="18"/>
              </w:rPr>
            </w:pPr>
            <w:bookmarkStart w:id="1" w:name="_30j0zll" w:colFirst="0" w:colLast="0"/>
            <w:bookmarkEnd w:id="1"/>
            <w:r>
              <w:rPr>
                <w:rFonts w:ascii="Garamond" w:eastAsia="Garamond" w:hAnsi="Garamond" w:cs="Garamond"/>
                <w:sz w:val="18"/>
                <w:szCs w:val="18"/>
              </w:rPr>
              <w:t xml:space="preserve">SLO contains only imprecise verbs (e.g., </w:t>
            </w:r>
            <w:r w:rsidR="00896783">
              <w:rPr>
                <w:rFonts w:ascii="Garamond" w:eastAsia="Garamond" w:hAnsi="Garamond" w:cs="Garamond"/>
                <w:sz w:val="18"/>
                <w:szCs w:val="18"/>
              </w:rPr>
              <w:t>“</w:t>
            </w:r>
            <w:r>
              <w:rPr>
                <w:rFonts w:ascii="Garamond" w:eastAsia="Garamond" w:hAnsi="Garamond" w:cs="Garamond"/>
                <w:sz w:val="18"/>
                <w:szCs w:val="18"/>
              </w:rPr>
              <w:t>know,</w:t>
            </w:r>
            <w:r w:rsidR="00896783">
              <w:rPr>
                <w:rFonts w:ascii="Garamond" w:eastAsia="Garamond" w:hAnsi="Garamond" w:cs="Garamond"/>
                <w:sz w:val="18"/>
                <w:szCs w:val="18"/>
              </w:rPr>
              <w:t>”</w:t>
            </w:r>
            <w:r>
              <w:rPr>
                <w:rFonts w:ascii="Garamond" w:eastAsia="Garamond" w:hAnsi="Garamond" w:cs="Garamond"/>
                <w:sz w:val="18"/>
                <w:szCs w:val="18"/>
              </w:rPr>
              <w:t xml:space="preserve"> </w:t>
            </w:r>
            <w:r w:rsidR="00896783">
              <w:rPr>
                <w:rFonts w:ascii="Garamond" w:eastAsia="Garamond" w:hAnsi="Garamond" w:cs="Garamond"/>
                <w:sz w:val="18"/>
                <w:szCs w:val="18"/>
              </w:rPr>
              <w:t>“</w:t>
            </w:r>
            <w:r>
              <w:rPr>
                <w:rFonts w:ascii="Garamond" w:eastAsia="Garamond" w:hAnsi="Garamond" w:cs="Garamond"/>
                <w:sz w:val="18"/>
                <w:szCs w:val="18"/>
              </w:rPr>
              <w:t>understand</w:t>
            </w:r>
            <w:r w:rsidR="00896783">
              <w:rPr>
                <w:rFonts w:ascii="Garamond" w:eastAsia="Garamond" w:hAnsi="Garamond" w:cs="Garamond"/>
                <w:sz w:val="18"/>
                <w:szCs w:val="18"/>
              </w:rPr>
              <w:t>”</w:t>
            </w:r>
            <w:r>
              <w:rPr>
                <w:rFonts w:ascii="Garamond" w:eastAsia="Garamond" w:hAnsi="Garamond" w:cs="Garamond"/>
                <w:sz w:val="18"/>
                <w:szCs w:val="18"/>
              </w:rPr>
              <w:t>), and thus is difficult to measure.</w:t>
            </w:r>
          </w:p>
          <w:p w:rsidR="00DA56D4" w:rsidRDefault="00F1722A" w:rsidP="0001610C">
            <w:pPr>
              <w:numPr>
                <w:ilvl w:val="0"/>
                <w:numId w:val="4"/>
              </w:numPr>
              <w:ind w:hanging="144"/>
              <w:rPr>
                <w:rFonts w:ascii="Garamond" w:eastAsia="Garamond" w:hAnsi="Garamond" w:cs="Garamond"/>
                <w:sz w:val="18"/>
                <w:szCs w:val="18"/>
              </w:rPr>
            </w:pPr>
            <w:r>
              <w:rPr>
                <w:rFonts w:ascii="Garamond" w:eastAsia="Garamond" w:hAnsi="Garamond" w:cs="Garamond"/>
                <w:sz w:val="18"/>
                <w:szCs w:val="18"/>
              </w:rPr>
              <w:t>SLO is too broad or vague to guide the assessment process.</w:t>
            </w:r>
          </w:p>
        </w:tc>
        <w:tc>
          <w:tcPr>
            <w:tcW w:w="3238" w:type="dxa"/>
            <w:shd w:val="clear" w:color="auto" w:fill="FFFFFF"/>
          </w:tcPr>
          <w:p w:rsidR="0001610C" w:rsidRPr="0001610C" w:rsidRDefault="00F1722A">
            <w:pPr>
              <w:numPr>
                <w:ilvl w:val="0"/>
                <w:numId w:val="4"/>
              </w:numPr>
              <w:ind w:hanging="144"/>
              <w:rPr>
                <w:rFonts w:ascii="Garamond" w:eastAsia="Garamond" w:hAnsi="Garamond" w:cs="Garamond"/>
                <w:sz w:val="18"/>
                <w:szCs w:val="18"/>
              </w:rPr>
            </w:pPr>
            <w:r>
              <w:rPr>
                <w:rFonts w:ascii="Garamond" w:eastAsia="Garamond" w:hAnsi="Garamond" w:cs="Garamond"/>
                <w:color w:val="333333"/>
                <w:sz w:val="18"/>
                <w:szCs w:val="18"/>
                <w:highlight w:val="white"/>
              </w:rPr>
              <w:t>SLO is clear about what group of students will achieve mastery of it (e.g., majors, students in the program), but not at what point in their progression through the program they will do so.</w:t>
            </w:r>
          </w:p>
          <w:p w:rsidR="0001610C" w:rsidRPr="0001610C" w:rsidRDefault="00F1722A">
            <w:pPr>
              <w:numPr>
                <w:ilvl w:val="0"/>
                <w:numId w:val="4"/>
              </w:numPr>
              <w:ind w:hanging="144"/>
              <w:rPr>
                <w:rFonts w:ascii="Garamond" w:hAnsi="Garamond"/>
                <w:sz w:val="18"/>
              </w:rPr>
            </w:pPr>
            <w:r>
              <w:rPr>
                <w:rFonts w:ascii="Garamond" w:eastAsia="Garamond" w:hAnsi="Garamond" w:cs="Garamond"/>
                <w:sz w:val="18"/>
                <w:szCs w:val="18"/>
              </w:rPr>
              <w:t>SLO contains action verbs that reflect an inadequate depth of knowledge for the program.</w:t>
            </w:r>
          </w:p>
          <w:p w:rsidR="00DA56D4" w:rsidRDefault="00F1722A">
            <w:pPr>
              <w:numPr>
                <w:ilvl w:val="0"/>
                <w:numId w:val="4"/>
              </w:numPr>
              <w:ind w:hanging="144"/>
            </w:pPr>
            <w:r>
              <w:rPr>
                <w:rFonts w:ascii="Garamond" w:eastAsia="Garamond" w:hAnsi="Garamond" w:cs="Garamond"/>
                <w:sz w:val="18"/>
                <w:szCs w:val="18"/>
              </w:rPr>
              <w:t>SLO contains a general description of the content knowledge, skills, and/or dispositions to be measured, but the</w:t>
            </w:r>
            <w:r w:rsidR="0001610C">
              <w:rPr>
                <w:rFonts w:ascii="Garamond" w:eastAsia="Garamond" w:hAnsi="Garamond" w:cs="Garamond"/>
                <w:sz w:val="18"/>
                <w:szCs w:val="18"/>
              </w:rPr>
              <w:t xml:space="preserve"> description is not discipline-</w:t>
            </w:r>
            <w:r>
              <w:rPr>
                <w:rFonts w:ascii="Garamond" w:eastAsia="Garamond" w:hAnsi="Garamond" w:cs="Garamond"/>
                <w:sz w:val="18"/>
                <w:szCs w:val="18"/>
              </w:rPr>
              <w:t>specific.</w:t>
            </w:r>
          </w:p>
        </w:tc>
        <w:tc>
          <w:tcPr>
            <w:tcW w:w="5400" w:type="dxa"/>
            <w:shd w:val="clear" w:color="auto" w:fill="FFFFFF"/>
          </w:tcPr>
          <w:p w:rsidR="0001610C" w:rsidRPr="0001610C" w:rsidRDefault="00F1722A">
            <w:pPr>
              <w:numPr>
                <w:ilvl w:val="0"/>
                <w:numId w:val="4"/>
              </w:numPr>
              <w:ind w:hanging="144"/>
              <w:rPr>
                <w:rFonts w:ascii="Garamond" w:eastAsia="Garamond" w:hAnsi="Garamond" w:cs="Garamond"/>
                <w:sz w:val="18"/>
                <w:szCs w:val="18"/>
              </w:rPr>
            </w:pPr>
            <w:r>
              <w:rPr>
                <w:rFonts w:ascii="Garamond" w:eastAsia="Garamond" w:hAnsi="Garamond" w:cs="Garamond"/>
                <w:color w:val="333333"/>
                <w:sz w:val="18"/>
                <w:szCs w:val="18"/>
                <w:highlight w:val="white"/>
              </w:rPr>
              <w:t xml:space="preserve">SLO is clear about what group of students will achieve mastery of it, and at what point in their progression through the program they will do so (e.g., </w:t>
            </w:r>
            <w:r w:rsidR="00896783">
              <w:rPr>
                <w:rFonts w:ascii="Garamond" w:eastAsia="Garamond" w:hAnsi="Garamond" w:cs="Garamond"/>
                <w:color w:val="333333"/>
                <w:sz w:val="18"/>
                <w:szCs w:val="18"/>
                <w:highlight w:val="white"/>
              </w:rPr>
              <w:t>“</w:t>
            </w:r>
            <w:r>
              <w:rPr>
                <w:rFonts w:ascii="Garamond" w:eastAsia="Garamond" w:hAnsi="Garamond" w:cs="Garamond"/>
                <w:color w:val="333333"/>
                <w:sz w:val="18"/>
                <w:szCs w:val="18"/>
                <w:highlight w:val="white"/>
              </w:rPr>
              <w:t>seniors,</w:t>
            </w:r>
            <w:r w:rsidR="00896783">
              <w:rPr>
                <w:rFonts w:ascii="Garamond" w:eastAsia="Garamond" w:hAnsi="Garamond" w:cs="Garamond"/>
                <w:color w:val="333333"/>
                <w:sz w:val="18"/>
                <w:szCs w:val="18"/>
                <w:highlight w:val="white"/>
              </w:rPr>
              <w:t>”</w:t>
            </w:r>
            <w:r>
              <w:rPr>
                <w:rFonts w:ascii="Garamond" w:eastAsia="Garamond" w:hAnsi="Garamond" w:cs="Garamond"/>
                <w:color w:val="333333"/>
                <w:sz w:val="18"/>
                <w:szCs w:val="18"/>
                <w:highlight w:val="white"/>
              </w:rPr>
              <w:t xml:space="preserve"> </w:t>
            </w:r>
            <w:r w:rsidR="00896783">
              <w:rPr>
                <w:rFonts w:ascii="Garamond" w:eastAsia="Garamond" w:hAnsi="Garamond" w:cs="Garamond"/>
                <w:color w:val="333333"/>
                <w:sz w:val="18"/>
                <w:szCs w:val="18"/>
                <w:highlight w:val="white"/>
              </w:rPr>
              <w:t>“</w:t>
            </w:r>
            <w:r>
              <w:rPr>
                <w:rFonts w:ascii="Garamond" w:eastAsia="Garamond" w:hAnsi="Garamond" w:cs="Garamond"/>
                <w:color w:val="333333"/>
                <w:sz w:val="18"/>
                <w:szCs w:val="18"/>
                <w:highlight w:val="white"/>
              </w:rPr>
              <w:t>graduates</w:t>
            </w:r>
            <w:r w:rsidR="00896783">
              <w:rPr>
                <w:rFonts w:ascii="Garamond" w:eastAsia="Garamond" w:hAnsi="Garamond" w:cs="Garamond"/>
                <w:color w:val="333333"/>
                <w:sz w:val="18"/>
                <w:szCs w:val="18"/>
                <w:highlight w:val="white"/>
              </w:rPr>
              <w:t>”</w:t>
            </w:r>
            <w:r>
              <w:rPr>
                <w:rFonts w:ascii="Garamond" w:eastAsia="Garamond" w:hAnsi="Garamond" w:cs="Garamond"/>
                <w:color w:val="333333"/>
                <w:sz w:val="18"/>
                <w:szCs w:val="18"/>
                <w:highlight w:val="white"/>
              </w:rPr>
              <w:t>).</w:t>
            </w:r>
          </w:p>
          <w:p w:rsidR="0001610C" w:rsidRPr="0001610C" w:rsidRDefault="00F1722A">
            <w:pPr>
              <w:numPr>
                <w:ilvl w:val="0"/>
                <w:numId w:val="4"/>
              </w:numPr>
              <w:ind w:hanging="144"/>
              <w:rPr>
                <w:rFonts w:ascii="Garamond" w:hAnsi="Garamond"/>
                <w:sz w:val="18"/>
              </w:rPr>
            </w:pPr>
            <w:r>
              <w:rPr>
                <w:rFonts w:ascii="Garamond" w:eastAsia="Garamond" w:hAnsi="Garamond" w:cs="Garamond"/>
                <w:sz w:val="18"/>
                <w:szCs w:val="18"/>
              </w:rPr>
              <w:t>SLO contains precise, measurable, and observable verbs that reflect an appropriate depth of knowledge for the program.</w:t>
            </w:r>
          </w:p>
          <w:p w:rsidR="00DA56D4" w:rsidRDefault="00F1722A">
            <w:pPr>
              <w:numPr>
                <w:ilvl w:val="0"/>
                <w:numId w:val="4"/>
              </w:numPr>
              <w:ind w:hanging="144"/>
            </w:pPr>
            <w:r>
              <w:rPr>
                <w:rFonts w:ascii="Garamond" w:eastAsia="Garamond" w:hAnsi="Garamond" w:cs="Garamond"/>
                <w:sz w:val="18"/>
                <w:szCs w:val="18"/>
              </w:rPr>
              <w:t>SLO contains a discipline-specific description of the content knowledge, skills, and/or dispositions that students will demonstrate.</w:t>
            </w:r>
          </w:p>
        </w:tc>
        <w:tc>
          <w:tcPr>
            <w:tcW w:w="3245" w:type="dxa"/>
            <w:shd w:val="clear" w:color="auto" w:fill="FFFFFF"/>
          </w:tcPr>
          <w:p w:rsidR="0001610C" w:rsidRPr="0001610C" w:rsidRDefault="00F1722A">
            <w:pPr>
              <w:numPr>
                <w:ilvl w:val="0"/>
                <w:numId w:val="4"/>
              </w:numPr>
              <w:ind w:hanging="144"/>
              <w:rPr>
                <w:rFonts w:ascii="Garamond" w:hAnsi="Garamond"/>
                <w:sz w:val="18"/>
              </w:rPr>
            </w:pPr>
            <w:r>
              <w:rPr>
                <w:rFonts w:ascii="Garamond" w:eastAsia="Garamond" w:hAnsi="Garamond" w:cs="Garamond"/>
                <w:sz w:val="18"/>
                <w:szCs w:val="18"/>
              </w:rPr>
              <w:t>A reasonable number of SLOs are identified — enough to adequately accomplish the mission of the program while still being manageable to assess on an annual basis.</w:t>
            </w:r>
          </w:p>
          <w:p w:rsidR="0001610C" w:rsidRPr="0001610C" w:rsidRDefault="00F1722A">
            <w:pPr>
              <w:numPr>
                <w:ilvl w:val="0"/>
                <w:numId w:val="4"/>
              </w:numPr>
              <w:ind w:hanging="144"/>
              <w:rPr>
                <w:rFonts w:ascii="Garamond" w:hAnsi="Garamond"/>
                <w:sz w:val="18"/>
              </w:rPr>
            </w:pPr>
            <w:r>
              <w:rPr>
                <w:rFonts w:ascii="Garamond" w:eastAsia="Garamond" w:hAnsi="Garamond" w:cs="Garamond"/>
                <w:sz w:val="18"/>
                <w:szCs w:val="18"/>
              </w:rPr>
              <w:t>Overall SLOs align with the program mission statement.</w:t>
            </w:r>
          </w:p>
          <w:p w:rsidR="0001610C" w:rsidRPr="0001610C" w:rsidRDefault="00F1722A">
            <w:pPr>
              <w:numPr>
                <w:ilvl w:val="0"/>
                <w:numId w:val="4"/>
              </w:numPr>
              <w:ind w:hanging="144"/>
              <w:rPr>
                <w:rFonts w:ascii="Garamond" w:hAnsi="Garamond"/>
                <w:sz w:val="18"/>
              </w:rPr>
            </w:pPr>
            <w:r>
              <w:rPr>
                <w:rFonts w:ascii="Garamond" w:eastAsia="Garamond" w:hAnsi="Garamond" w:cs="Garamond"/>
                <w:sz w:val="18"/>
                <w:szCs w:val="18"/>
              </w:rPr>
              <w:t>Overall SLOs focus on the central aspects of the discipline/field.</w:t>
            </w:r>
          </w:p>
          <w:p w:rsidR="0001610C" w:rsidRPr="0001610C" w:rsidRDefault="00F1722A">
            <w:pPr>
              <w:numPr>
                <w:ilvl w:val="0"/>
                <w:numId w:val="4"/>
              </w:numPr>
              <w:ind w:hanging="144"/>
              <w:rPr>
                <w:rFonts w:ascii="Garamond" w:hAnsi="Garamond"/>
                <w:sz w:val="18"/>
              </w:rPr>
            </w:pPr>
            <w:r>
              <w:rPr>
                <w:rFonts w:ascii="Garamond" w:eastAsia="Garamond" w:hAnsi="Garamond" w:cs="Garamond"/>
                <w:sz w:val="18"/>
                <w:szCs w:val="18"/>
              </w:rPr>
              <w:t>Overall SLOs reflect appropriate level of expectation for the program type/level.</w:t>
            </w:r>
          </w:p>
          <w:p w:rsidR="00DA56D4" w:rsidRDefault="00F1722A">
            <w:pPr>
              <w:numPr>
                <w:ilvl w:val="0"/>
                <w:numId w:val="4"/>
              </w:numPr>
              <w:ind w:hanging="144"/>
            </w:pPr>
            <w:r>
              <w:rPr>
                <w:rFonts w:ascii="Garamond" w:eastAsia="Garamond" w:hAnsi="Garamond" w:cs="Garamond"/>
                <w:sz w:val="18"/>
                <w:szCs w:val="18"/>
              </w:rPr>
              <w:t>Overall SLOs stated in student-centered terms, reflecting what students should know, do, and/or think as they engage in the program of study.</w:t>
            </w:r>
          </w:p>
        </w:tc>
      </w:tr>
      <w:tr w:rsidR="00DA56D4" w:rsidRPr="00174F64" w:rsidTr="00C04FC8">
        <w:tc>
          <w:tcPr>
            <w:tcW w:w="15120" w:type="dxa"/>
            <w:gridSpan w:val="4"/>
            <w:shd w:val="clear" w:color="auto" w:fill="D9D9D9"/>
            <w:vAlign w:val="center"/>
          </w:tcPr>
          <w:p w:rsidR="00E101D5" w:rsidRPr="00174F64" w:rsidRDefault="00E101D5">
            <w:pPr>
              <w:contextualSpacing w:val="0"/>
              <w:rPr>
                <w:rFonts w:ascii="Garamond" w:eastAsia="Garamond" w:hAnsi="Garamond" w:cs="Garamond"/>
                <w:b/>
                <w:sz w:val="20"/>
                <w:szCs w:val="20"/>
              </w:rPr>
            </w:pPr>
            <w:r w:rsidRPr="00174F64">
              <w:rPr>
                <w:rFonts w:ascii="Garamond" w:eastAsia="Garamond" w:hAnsi="Garamond" w:cs="Garamond"/>
                <w:b/>
                <w:sz w:val="20"/>
                <w:szCs w:val="20"/>
              </w:rPr>
              <w:t>C. TEACHING STRATEGIES</w:t>
            </w:r>
          </w:p>
          <w:p w:rsidR="00DA56D4" w:rsidRPr="005F2E09" w:rsidRDefault="002456D5">
            <w:pPr>
              <w:contextualSpacing w:val="0"/>
              <w:rPr>
                <w:rFonts w:ascii="Garamond" w:eastAsia="Garamond" w:hAnsi="Garamond" w:cs="Garamond"/>
                <w:b/>
                <w:sz w:val="18"/>
                <w:szCs w:val="18"/>
              </w:rPr>
            </w:pPr>
            <w:r>
              <w:rPr>
                <w:rFonts w:ascii="Garamond" w:eastAsia="Garamond" w:hAnsi="Garamond" w:cs="Garamond"/>
                <w:b/>
                <w:sz w:val="18"/>
                <w:szCs w:val="18"/>
              </w:rPr>
              <w:t>Where &amp;</w:t>
            </w:r>
            <w:r w:rsidR="00F1722A" w:rsidRPr="005F2E09">
              <w:rPr>
                <w:rFonts w:ascii="Garamond" w:eastAsia="Garamond" w:hAnsi="Garamond" w:cs="Garamond"/>
                <w:b/>
                <w:sz w:val="18"/>
                <w:szCs w:val="18"/>
              </w:rPr>
              <w:t xml:space="preserve"> how the students </w:t>
            </w:r>
            <w:r>
              <w:rPr>
                <w:rFonts w:ascii="Garamond" w:eastAsia="Garamond" w:hAnsi="Garamond" w:cs="Garamond"/>
                <w:b/>
                <w:sz w:val="18"/>
                <w:szCs w:val="18"/>
              </w:rPr>
              <w:t>learning outcomes are mapped &amp;</w:t>
            </w:r>
            <w:r w:rsidR="00F1722A" w:rsidRPr="005F2E09">
              <w:rPr>
                <w:rFonts w:ascii="Garamond" w:eastAsia="Garamond" w:hAnsi="Garamond" w:cs="Garamond"/>
                <w:b/>
                <w:sz w:val="18"/>
                <w:szCs w:val="18"/>
              </w:rPr>
              <w:t xml:space="preserve"> addressed in the program</w:t>
            </w:r>
            <w:r w:rsidR="00896783">
              <w:rPr>
                <w:rFonts w:ascii="Garamond" w:eastAsia="Garamond" w:hAnsi="Garamond" w:cs="Garamond"/>
                <w:b/>
                <w:sz w:val="18"/>
                <w:szCs w:val="18"/>
              </w:rPr>
              <w:t>’</w:t>
            </w:r>
            <w:r w:rsidR="00F1722A" w:rsidRPr="005F2E09">
              <w:rPr>
                <w:rFonts w:ascii="Garamond" w:eastAsia="Garamond" w:hAnsi="Garamond" w:cs="Garamond"/>
                <w:b/>
                <w:sz w:val="18"/>
                <w:szCs w:val="18"/>
              </w:rPr>
              <w:t>s curriculum</w:t>
            </w:r>
          </w:p>
        </w:tc>
      </w:tr>
      <w:tr w:rsidR="00C04FC8" w:rsidTr="005435F4">
        <w:tc>
          <w:tcPr>
            <w:tcW w:w="3237" w:type="dxa"/>
          </w:tcPr>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No courses/experiences are described, or information provided does not connect to SLOs.</w:t>
            </w:r>
          </w:p>
          <w:p w:rsidR="00DA56D4" w:rsidRDefault="00F1722A">
            <w:pPr>
              <w:numPr>
                <w:ilvl w:val="0"/>
                <w:numId w:val="5"/>
              </w:numPr>
              <w:ind w:left="144" w:hanging="144"/>
            </w:pPr>
            <w:r>
              <w:rPr>
                <w:rFonts w:ascii="Garamond" w:eastAsia="Garamond" w:hAnsi="Garamond" w:cs="Garamond"/>
                <w:sz w:val="18"/>
                <w:szCs w:val="18"/>
              </w:rPr>
              <w:t>Absence of curriculum map, or some relevant program courses and/or SLOs are not addressed on the curriculum map.</w:t>
            </w:r>
          </w:p>
        </w:tc>
        <w:tc>
          <w:tcPr>
            <w:tcW w:w="3238" w:type="dxa"/>
          </w:tcPr>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Courses/experiences provide opportunities for students to obtain the knowledge, skills, and/or dispositions described in the SLOs.</w:t>
            </w:r>
          </w:p>
          <w:p w:rsidR="00DA56D4" w:rsidRDefault="00F1722A">
            <w:pPr>
              <w:numPr>
                <w:ilvl w:val="0"/>
                <w:numId w:val="5"/>
              </w:numPr>
              <w:ind w:left="144" w:hanging="144"/>
            </w:pPr>
            <w:r>
              <w:rPr>
                <w:rFonts w:ascii="Garamond" w:eastAsia="Garamond" w:hAnsi="Garamond" w:cs="Garamond"/>
                <w:sz w:val="18"/>
                <w:szCs w:val="18"/>
              </w:rPr>
              <w:t>All relevant program courses and SLOs are shown on the curriculum map, but the map does not indicate the depth of coverage for SLOs in the courses.</w:t>
            </w:r>
          </w:p>
        </w:tc>
        <w:tc>
          <w:tcPr>
            <w:tcW w:w="5400" w:type="dxa"/>
          </w:tcPr>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Courses/experiences are linked to SLOs with multiple and diverse opportunities for students to obtain the content knowledge, skills, and/or dispositions specific to the discipline in the SLOs.</w:t>
            </w:r>
          </w:p>
          <w:p w:rsidR="00DA56D4" w:rsidRDefault="00F1722A">
            <w:pPr>
              <w:numPr>
                <w:ilvl w:val="0"/>
                <w:numId w:val="5"/>
              </w:numPr>
              <w:ind w:left="144" w:hanging="144"/>
            </w:pPr>
            <w:r>
              <w:rPr>
                <w:rFonts w:ascii="Garamond" w:eastAsia="Garamond" w:hAnsi="Garamond" w:cs="Garamond"/>
                <w:sz w:val="18"/>
                <w:szCs w:val="18"/>
              </w:rPr>
              <w:t>All relevant program courses and SLOs are shown on the curriculum map, and the map indicates the depth of coverage for SLOs in appropriate courses.</w:t>
            </w:r>
          </w:p>
        </w:tc>
        <w:tc>
          <w:tcPr>
            <w:tcW w:w="3245" w:type="dxa"/>
          </w:tcPr>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Courses/experiences connect to and/or build upon each other to help students achieve content knowledge, skills, and/or dispositions specific to the discipline, as described in the SLOs.</w:t>
            </w:r>
          </w:p>
          <w:p w:rsidR="00DA56D4" w:rsidRDefault="00F1722A" w:rsidP="00F908C0">
            <w:pPr>
              <w:numPr>
                <w:ilvl w:val="0"/>
                <w:numId w:val="5"/>
              </w:numPr>
              <w:ind w:left="144" w:hanging="144"/>
            </w:pPr>
            <w:r>
              <w:rPr>
                <w:rFonts w:ascii="Garamond" w:eastAsia="Garamond" w:hAnsi="Garamond" w:cs="Garamond"/>
                <w:sz w:val="18"/>
                <w:szCs w:val="18"/>
              </w:rPr>
              <w:t xml:space="preserve">A continuum of learning demonstrated on the curriculum map. SLOs are well balanced throughout the courses/experiences in the program, with appropriate depth of coverage for each SLO. </w:t>
            </w:r>
          </w:p>
        </w:tc>
      </w:tr>
    </w:tbl>
    <w:p w:rsidR="00326A3C" w:rsidRDefault="00326A3C">
      <w:r>
        <w:br w:type="page"/>
      </w:r>
    </w:p>
    <w:tbl>
      <w:tblPr>
        <w:tblStyle w:val="a"/>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400" w:firstRow="0" w:lastRow="0" w:firstColumn="0" w:lastColumn="0" w:noHBand="0" w:noVBand="1"/>
      </w:tblPr>
      <w:tblGrid>
        <w:gridCol w:w="3235"/>
        <w:gridCol w:w="3240"/>
        <w:gridCol w:w="5400"/>
        <w:gridCol w:w="90"/>
        <w:gridCol w:w="3155"/>
      </w:tblGrid>
      <w:tr w:rsidR="00552BD7" w:rsidRPr="00184406" w:rsidTr="005435F4">
        <w:trPr>
          <w:trHeight w:val="20"/>
        </w:trPr>
        <w:tc>
          <w:tcPr>
            <w:tcW w:w="3235" w:type="dxa"/>
            <w:shd w:val="clear" w:color="auto" w:fill="A6A6A6"/>
            <w:vAlign w:val="bottom"/>
          </w:tcPr>
          <w:p w:rsidR="00326A3C" w:rsidRPr="00184406" w:rsidRDefault="00326A3C" w:rsidP="00E31B93">
            <w:pPr>
              <w:contextualSpacing w:val="0"/>
              <w:jc w:val="center"/>
              <w:rPr>
                <w:sz w:val="24"/>
                <w:szCs w:val="24"/>
              </w:rPr>
            </w:pPr>
            <w:r w:rsidRPr="00184406">
              <w:rPr>
                <w:rFonts w:ascii="Garamond" w:eastAsia="Garamond" w:hAnsi="Garamond" w:cs="Garamond"/>
                <w:b/>
                <w:sz w:val="24"/>
                <w:szCs w:val="24"/>
              </w:rPr>
              <w:lastRenderedPageBreak/>
              <w:t>1 - BEGINNING</w:t>
            </w:r>
          </w:p>
        </w:tc>
        <w:tc>
          <w:tcPr>
            <w:tcW w:w="3240" w:type="dxa"/>
            <w:shd w:val="clear" w:color="auto" w:fill="A6A6A6"/>
            <w:vAlign w:val="bottom"/>
          </w:tcPr>
          <w:p w:rsidR="00326A3C" w:rsidRPr="00184406" w:rsidRDefault="00326A3C" w:rsidP="00E31B93">
            <w:pPr>
              <w:contextualSpacing w:val="0"/>
              <w:jc w:val="center"/>
              <w:rPr>
                <w:sz w:val="24"/>
                <w:szCs w:val="24"/>
              </w:rPr>
            </w:pPr>
            <w:r w:rsidRPr="00184406">
              <w:rPr>
                <w:rFonts w:ascii="Garamond" w:eastAsia="Garamond" w:hAnsi="Garamond" w:cs="Garamond"/>
                <w:b/>
                <w:sz w:val="24"/>
                <w:szCs w:val="24"/>
              </w:rPr>
              <w:t>2 - DEVELOPING</w:t>
            </w:r>
          </w:p>
        </w:tc>
        <w:tc>
          <w:tcPr>
            <w:tcW w:w="5400" w:type="dxa"/>
            <w:shd w:val="clear" w:color="auto" w:fill="A6A6A6"/>
            <w:vAlign w:val="bottom"/>
          </w:tcPr>
          <w:p w:rsidR="00326A3C" w:rsidRPr="00184406" w:rsidRDefault="00326A3C" w:rsidP="00E31B93">
            <w:pPr>
              <w:contextualSpacing w:val="0"/>
              <w:jc w:val="center"/>
              <w:rPr>
                <w:sz w:val="24"/>
                <w:szCs w:val="24"/>
              </w:rPr>
            </w:pPr>
            <w:r w:rsidRPr="00184406">
              <w:rPr>
                <w:rFonts w:ascii="Garamond" w:eastAsia="Garamond" w:hAnsi="Garamond" w:cs="Garamond"/>
                <w:b/>
                <w:sz w:val="24"/>
                <w:szCs w:val="24"/>
              </w:rPr>
              <w:t>3 - ACCEPTABLE</w:t>
            </w:r>
          </w:p>
        </w:tc>
        <w:tc>
          <w:tcPr>
            <w:tcW w:w="3245" w:type="dxa"/>
            <w:gridSpan w:val="2"/>
            <w:shd w:val="clear" w:color="auto" w:fill="A6A6A6"/>
            <w:vAlign w:val="bottom"/>
          </w:tcPr>
          <w:p w:rsidR="00326A3C" w:rsidRPr="00184406" w:rsidRDefault="00326A3C" w:rsidP="00E31B93">
            <w:pPr>
              <w:contextualSpacing w:val="0"/>
              <w:jc w:val="center"/>
              <w:rPr>
                <w:sz w:val="24"/>
                <w:szCs w:val="24"/>
              </w:rPr>
            </w:pPr>
            <w:r w:rsidRPr="00184406">
              <w:rPr>
                <w:rFonts w:ascii="Garamond" w:eastAsia="Garamond" w:hAnsi="Garamond" w:cs="Garamond"/>
                <w:b/>
                <w:sz w:val="24"/>
                <w:szCs w:val="24"/>
              </w:rPr>
              <w:t>4 - EXEMPLARY</w:t>
            </w:r>
          </w:p>
        </w:tc>
      </w:tr>
      <w:tr w:rsidR="00DA56D4" w:rsidRPr="00174F64" w:rsidTr="00C04FC8">
        <w:tc>
          <w:tcPr>
            <w:tcW w:w="15120" w:type="dxa"/>
            <w:gridSpan w:val="5"/>
            <w:shd w:val="clear" w:color="auto" w:fill="D9D9D9"/>
            <w:vAlign w:val="center"/>
          </w:tcPr>
          <w:p w:rsidR="00E101D5" w:rsidRPr="00174F64" w:rsidRDefault="00801AE8" w:rsidP="00041B35">
            <w:pPr>
              <w:contextualSpacing w:val="0"/>
              <w:rPr>
                <w:rFonts w:ascii="Garamond" w:eastAsia="Garamond" w:hAnsi="Garamond" w:cs="Garamond"/>
                <w:b/>
                <w:sz w:val="20"/>
                <w:szCs w:val="20"/>
              </w:rPr>
            </w:pPr>
            <w:r w:rsidRPr="00174F64">
              <w:rPr>
                <w:rFonts w:ascii="Garamond" w:eastAsia="Garamond" w:hAnsi="Garamond" w:cs="Garamond"/>
                <w:b/>
                <w:sz w:val="20"/>
                <w:szCs w:val="20"/>
              </w:rPr>
              <w:t xml:space="preserve">D. ASSESSMENT METHODS </w:t>
            </w:r>
            <w:r w:rsidR="00D47C45" w:rsidRPr="00174F64">
              <w:rPr>
                <w:rFonts w:ascii="Garamond" w:eastAsia="Garamond" w:hAnsi="Garamond" w:cs="Garamond"/>
                <w:b/>
                <w:sz w:val="20"/>
                <w:szCs w:val="20"/>
              </w:rPr>
              <w:t>I:</w:t>
            </w:r>
            <w:r w:rsidR="00F1722A" w:rsidRPr="00174F64">
              <w:rPr>
                <w:rFonts w:ascii="Garamond" w:eastAsia="Garamond" w:hAnsi="Garamond" w:cs="Garamond"/>
                <w:b/>
                <w:sz w:val="20"/>
                <w:szCs w:val="20"/>
              </w:rPr>
              <w:t xml:space="preserve"> M</w:t>
            </w:r>
            <w:r w:rsidR="00041B35" w:rsidRPr="00174F64">
              <w:rPr>
                <w:rFonts w:ascii="Garamond" w:eastAsia="Garamond" w:hAnsi="Garamond" w:cs="Garamond"/>
                <w:b/>
                <w:sz w:val="20"/>
                <w:szCs w:val="20"/>
              </w:rPr>
              <w:t>EASUREMENT TOOLS AND ASSIGNMENTS</w:t>
            </w:r>
          </w:p>
          <w:p w:rsidR="00DA56D4" w:rsidRPr="005F2E09" w:rsidRDefault="00F1722A" w:rsidP="00041B35">
            <w:pPr>
              <w:contextualSpacing w:val="0"/>
              <w:rPr>
                <w:rFonts w:ascii="Garamond" w:eastAsia="Garamond" w:hAnsi="Garamond" w:cs="Garamond"/>
                <w:b/>
                <w:sz w:val="18"/>
                <w:szCs w:val="18"/>
              </w:rPr>
            </w:pPr>
            <w:r w:rsidRPr="005F2E09">
              <w:rPr>
                <w:rFonts w:ascii="Garamond" w:eastAsia="Garamond" w:hAnsi="Garamond" w:cs="Garamond"/>
                <w:b/>
                <w:sz w:val="18"/>
                <w:szCs w:val="18"/>
              </w:rPr>
              <w:t>Descrip</w:t>
            </w:r>
            <w:r w:rsidR="00F908C0">
              <w:rPr>
                <w:rFonts w:ascii="Garamond" w:eastAsia="Garamond" w:hAnsi="Garamond" w:cs="Garamond"/>
                <w:b/>
                <w:sz w:val="18"/>
                <w:szCs w:val="18"/>
              </w:rPr>
              <w:t>tion of the measurement tool &amp;</w:t>
            </w:r>
            <w:r w:rsidRPr="005F2E09">
              <w:rPr>
                <w:rFonts w:ascii="Garamond" w:eastAsia="Garamond" w:hAnsi="Garamond" w:cs="Garamond"/>
                <w:b/>
                <w:sz w:val="18"/>
                <w:szCs w:val="18"/>
              </w:rPr>
              <w:t xml:space="preserve"> the associated assignment, how they align w</w:t>
            </w:r>
            <w:r w:rsidR="00F908C0">
              <w:rPr>
                <w:rFonts w:ascii="Garamond" w:eastAsia="Garamond" w:hAnsi="Garamond" w:cs="Garamond"/>
                <w:b/>
                <w:sz w:val="18"/>
                <w:szCs w:val="18"/>
              </w:rPr>
              <w:t>ith the SLO, &amp;</w:t>
            </w:r>
            <w:r w:rsidR="005F2E09">
              <w:rPr>
                <w:rFonts w:ascii="Garamond" w:eastAsia="Garamond" w:hAnsi="Garamond" w:cs="Garamond"/>
                <w:b/>
                <w:sz w:val="18"/>
                <w:szCs w:val="18"/>
              </w:rPr>
              <w:t xml:space="preserve"> their validity</w:t>
            </w:r>
          </w:p>
        </w:tc>
      </w:tr>
      <w:tr w:rsidR="00C04FC8" w:rsidTr="005435F4">
        <w:tc>
          <w:tcPr>
            <w:tcW w:w="3235" w:type="dxa"/>
            <w:shd w:val="clear" w:color="auto" w:fill="FFFFFF"/>
          </w:tcPr>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SLO is assessed with only indirect measure(s) (i.e., surveys).</w:t>
            </w:r>
          </w:p>
          <w:p w:rsidR="00DA56D4" w:rsidRDefault="00F1722A">
            <w:pPr>
              <w:numPr>
                <w:ilvl w:val="0"/>
                <w:numId w:val="5"/>
              </w:numPr>
              <w:ind w:left="144" w:hanging="144"/>
            </w:pPr>
            <w:r>
              <w:rPr>
                <w:rFonts w:ascii="Garamond" w:eastAsia="Garamond" w:hAnsi="Garamond" w:cs="Garamond"/>
                <w:sz w:val="18"/>
                <w:szCs w:val="18"/>
              </w:rPr>
              <w:t>No information is provided about how the measurement tool(s) and assignment(s) relate to the SLO.</w:t>
            </w:r>
          </w:p>
        </w:tc>
        <w:tc>
          <w:tcPr>
            <w:tcW w:w="3240" w:type="dxa"/>
            <w:shd w:val="clear" w:color="auto" w:fill="FFFFFF"/>
          </w:tcPr>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SLO is assessed with direct measure(s) (i.e., objective tests, rubrics).</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General description is provided of the measurement tool(s) and assignment(s).</w:t>
            </w:r>
          </w:p>
          <w:p w:rsidR="00DA56D4" w:rsidRDefault="00F1722A">
            <w:pPr>
              <w:numPr>
                <w:ilvl w:val="0"/>
                <w:numId w:val="5"/>
              </w:numPr>
              <w:ind w:left="144" w:hanging="144"/>
            </w:pPr>
            <w:r>
              <w:rPr>
                <w:rFonts w:ascii="Garamond" w:eastAsia="Garamond" w:hAnsi="Garamond" w:cs="Garamond"/>
                <w:sz w:val="18"/>
                <w:szCs w:val="18"/>
              </w:rPr>
              <w:t>General information is provided about how the measurement tool(s) and assignment(s) relate to the SLO.</w:t>
            </w:r>
          </w:p>
        </w:tc>
        <w:tc>
          <w:tcPr>
            <w:tcW w:w="5490" w:type="dxa"/>
            <w:gridSpan w:val="2"/>
            <w:tcBorders>
              <w:bottom w:val="single" w:sz="4" w:space="0" w:color="auto"/>
            </w:tcBorders>
            <w:shd w:val="clear" w:color="auto" w:fill="FFFFFF"/>
          </w:tcPr>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Detailed description of measurement tool(s) and its alignment with the SLO is provided. This includes:</w:t>
            </w:r>
          </w:p>
          <w:p w:rsidR="0001610C" w:rsidRPr="0001610C" w:rsidRDefault="00F1722A" w:rsidP="00041B35">
            <w:pPr>
              <w:pStyle w:val="ListParagraph"/>
              <w:numPr>
                <w:ilvl w:val="0"/>
                <w:numId w:val="6"/>
              </w:numPr>
              <w:rPr>
                <w:rFonts w:ascii="Garamond" w:hAnsi="Garamond"/>
                <w:sz w:val="18"/>
              </w:rPr>
            </w:pPr>
            <w:r>
              <w:rPr>
                <w:rFonts w:ascii="Garamond" w:eastAsia="Garamond" w:hAnsi="Garamond" w:cs="Garamond"/>
                <w:sz w:val="18"/>
                <w:szCs w:val="18"/>
              </w:rPr>
              <w:t>for an objective test measurement tool, test blueprint maps individual questions to the SLO (or element of the SLO), and expected levels of mastery are indicated;</w:t>
            </w:r>
          </w:p>
          <w:p w:rsidR="0001610C" w:rsidRPr="0001610C" w:rsidRDefault="00F1722A" w:rsidP="00041B35">
            <w:pPr>
              <w:pStyle w:val="ListParagraph"/>
              <w:numPr>
                <w:ilvl w:val="0"/>
                <w:numId w:val="6"/>
              </w:numPr>
              <w:rPr>
                <w:rFonts w:ascii="Garamond" w:hAnsi="Garamond"/>
                <w:sz w:val="18"/>
              </w:rPr>
            </w:pPr>
            <w:proofErr w:type="gramStart"/>
            <w:r>
              <w:rPr>
                <w:rFonts w:ascii="Garamond" w:eastAsia="Garamond" w:hAnsi="Garamond" w:cs="Garamond"/>
                <w:sz w:val="18"/>
                <w:szCs w:val="18"/>
              </w:rPr>
              <w:t>for</w:t>
            </w:r>
            <w:proofErr w:type="gramEnd"/>
            <w:r>
              <w:rPr>
                <w:rFonts w:ascii="Garamond" w:eastAsia="Garamond" w:hAnsi="Garamond" w:cs="Garamond"/>
                <w:sz w:val="18"/>
                <w:szCs w:val="18"/>
              </w:rPr>
              <w:t xml:space="preserve"> an analytic rubric measurement tool, each trait is mapped to the SLO (or element of the SLO) and each level details expectations.</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 xml:space="preserve">Detailed description of the assignment(s) and alignment with the SLO is provided.  This includes: </w:t>
            </w:r>
          </w:p>
          <w:p w:rsidR="0001610C" w:rsidRPr="0001610C" w:rsidRDefault="00F1722A" w:rsidP="00041B35">
            <w:pPr>
              <w:pStyle w:val="ListParagraph"/>
              <w:numPr>
                <w:ilvl w:val="0"/>
                <w:numId w:val="6"/>
              </w:numPr>
              <w:rPr>
                <w:rFonts w:ascii="Garamond" w:hAnsi="Garamond"/>
                <w:sz w:val="18"/>
              </w:rPr>
            </w:pPr>
            <w:r>
              <w:rPr>
                <w:rFonts w:ascii="Garamond" w:eastAsia="Garamond" w:hAnsi="Garamond" w:cs="Garamond"/>
                <w:sz w:val="18"/>
                <w:szCs w:val="18"/>
              </w:rPr>
              <w:t>for an objective test assignment, representative test items are described to indicate relevance to the SLO and the expected level of mastery;</w:t>
            </w:r>
          </w:p>
          <w:p w:rsidR="0001610C" w:rsidRPr="0001610C" w:rsidRDefault="00F1722A" w:rsidP="00041B35">
            <w:pPr>
              <w:pStyle w:val="ListParagraph"/>
              <w:numPr>
                <w:ilvl w:val="0"/>
                <w:numId w:val="6"/>
              </w:numPr>
              <w:rPr>
                <w:rFonts w:ascii="Garamond" w:hAnsi="Garamond"/>
                <w:sz w:val="18"/>
              </w:rPr>
            </w:pPr>
            <w:proofErr w:type="gramStart"/>
            <w:r>
              <w:rPr>
                <w:rFonts w:ascii="Garamond" w:eastAsia="Garamond" w:hAnsi="Garamond" w:cs="Garamond"/>
                <w:sz w:val="18"/>
                <w:szCs w:val="18"/>
              </w:rPr>
              <w:t>for</w:t>
            </w:r>
            <w:proofErr w:type="gramEnd"/>
            <w:r>
              <w:rPr>
                <w:rFonts w:ascii="Garamond" w:eastAsia="Garamond" w:hAnsi="Garamond" w:cs="Garamond"/>
                <w:sz w:val="18"/>
                <w:szCs w:val="18"/>
              </w:rPr>
              <w:t xml:space="preserve"> a performance-based assignment evaluated with an analytic rubric, the assignment prompt is described to indicate relevance to the SLO and the expected level of mastery.</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Measurement tool(s) will provide a direct/observable result, and are appropriate to the SLO and the level of mastery expected.</w:t>
            </w:r>
          </w:p>
          <w:p w:rsidR="00DA56D4" w:rsidRDefault="00F1722A">
            <w:pPr>
              <w:numPr>
                <w:ilvl w:val="0"/>
                <w:numId w:val="5"/>
              </w:numPr>
              <w:ind w:left="144" w:hanging="144"/>
            </w:pPr>
            <w:r>
              <w:rPr>
                <w:rFonts w:ascii="Garamond" w:eastAsia="Garamond" w:hAnsi="Garamond" w:cs="Garamond"/>
                <w:sz w:val="18"/>
                <w:szCs w:val="18"/>
              </w:rPr>
              <w:t>Assignment(s) are appropriate to the SLO and the level of mastery expected.</w:t>
            </w:r>
          </w:p>
        </w:tc>
        <w:tc>
          <w:tcPr>
            <w:tcW w:w="3155" w:type="dxa"/>
            <w:shd w:val="clear" w:color="auto" w:fill="FFFFFF"/>
          </w:tcPr>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Direct measures may be supplemented with indirect measures.</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Includes both formative and summative measures.</w:t>
            </w:r>
          </w:p>
          <w:p w:rsidR="00DA56D4" w:rsidRPr="00D35F5F" w:rsidRDefault="00F1722A" w:rsidP="00D35F5F">
            <w:pPr>
              <w:numPr>
                <w:ilvl w:val="0"/>
                <w:numId w:val="5"/>
              </w:numPr>
              <w:ind w:left="144" w:hanging="144"/>
              <w:rPr>
                <w:rFonts w:ascii="Garamond" w:hAnsi="Garamond"/>
                <w:sz w:val="18"/>
              </w:rPr>
            </w:pPr>
            <w:r>
              <w:rPr>
                <w:rFonts w:ascii="Garamond" w:eastAsia="Garamond" w:hAnsi="Garamond" w:cs="Garamond"/>
                <w:sz w:val="18"/>
                <w:szCs w:val="18"/>
              </w:rPr>
              <w:t>A description of the development process for the measurement tool(s) and assignment(s) is included to illustrate their appropriateness to the SLO.</w:t>
            </w:r>
          </w:p>
        </w:tc>
      </w:tr>
      <w:tr w:rsidR="00DA56D4" w:rsidRPr="00174F64" w:rsidTr="00C04FC8">
        <w:tc>
          <w:tcPr>
            <w:tcW w:w="15120" w:type="dxa"/>
            <w:gridSpan w:val="5"/>
            <w:shd w:val="clear" w:color="auto" w:fill="D9D9D9"/>
            <w:vAlign w:val="center"/>
          </w:tcPr>
          <w:p w:rsidR="00E101D5" w:rsidRPr="00174F64" w:rsidRDefault="00041B35" w:rsidP="00D47C45">
            <w:pPr>
              <w:contextualSpacing w:val="0"/>
              <w:rPr>
                <w:rFonts w:ascii="Garamond" w:eastAsia="Garamond" w:hAnsi="Garamond" w:cs="Garamond"/>
                <w:b/>
                <w:sz w:val="20"/>
                <w:szCs w:val="20"/>
              </w:rPr>
            </w:pPr>
            <w:r w:rsidRPr="00174F64">
              <w:rPr>
                <w:rFonts w:ascii="Garamond" w:eastAsia="Garamond" w:hAnsi="Garamond" w:cs="Garamond"/>
                <w:b/>
                <w:sz w:val="20"/>
                <w:szCs w:val="20"/>
              </w:rPr>
              <w:t xml:space="preserve">D. ASSESSMENT METHODS </w:t>
            </w:r>
            <w:r w:rsidR="00D47C45" w:rsidRPr="00174F64">
              <w:rPr>
                <w:rFonts w:ascii="Garamond" w:eastAsia="Garamond" w:hAnsi="Garamond" w:cs="Garamond"/>
                <w:b/>
                <w:sz w:val="20"/>
                <w:szCs w:val="20"/>
              </w:rPr>
              <w:t>II:</w:t>
            </w:r>
            <w:r w:rsidR="00F1722A" w:rsidRPr="00174F64">
              <w:rPr>
                <w:rFonts w:ascii="Garamond" w:eastAsia="Garamond" w:hAnsi="Garamond" w:cs="Garamond"/>
                <w:b/>
                <w:sz w:val="20"/>
                <w:szCs w:val="20"/>
              </w:rPr>
              <w:t xml:space="preserve"> </w:t>
            </w:r>
            <w:r w:rsidR="00D47C45" w:rsidRPr="00174F64">
              <w:rPr>
                <w:rFonts w:ascii="Garamond" w:eastAsia="Garamond" w:hAnsi="Garamond" w:cs="Garamond"/>
                <w:b/>
                <w:sz w:val="20"/>
                <w:szCs w:val="20"/>
              </w:rPr>
              <w:t>DATA COLLECTION AND INTEGRITY</w:t>
            </w:r>
          </w:p>
          <w:p w:rsidR="00DA56D4" w:rsidRPr="00F908C0" w:rsidRDefault="00F1722A" w:rsidP="00D47C45">
            <w:pPr>
              <w:contextualSpacing w:val="0"/>
              <w:rPr>
                <w:rFonts w:ascii="Garamond" w:eastAsia="Garamond" w:hAnsi="Garamond" w:cs="Garamond"/>
                <w:b/>
                <w:sz w:val="18"/>
                <w:szCs w:val="18"/>
              </w:rPr>
            </w:pPr>
            <w:r w:rsidRPr="00F908C0">
              <w:rPr>
                <w:rFonts w:ascii="Garamond" w:eastAsia="Garamond" w:hAnsi="Garamond" w:cs="Garamond"/>
                <w:b/>
                <w:sz w:val="18"/>
                <w:szCs w:val="18"/>
              </w:rPr>
              <w:t>When measurement tools are applied, to whom, at wh</w:t>
            </w:r>
            <w:r w:rsidR="005F2E09" w:rsidRPr="00F908C0">
              <w:rPr>
                <w:rFonts w:ascii="Garamond" w:eastAsia="Garamond" w:hAnsi="Garamond" w:cs="Garamond"/>
                <w:b/>
                <w:sz w:val="18"/>
                <w:szCs w:val="18"/>
              </w:rPr>
              <w:t>at point the in the program, &amp;</w:t>
            </w:r>
            <w:r w:rsidRPr="00F908C0">
              <w:rPr>
                <w:rFonts w:ascii="Garamond" w:eastAsia="Garamond" w:hAnsi="Garamond" w:cs="Garamond"/>
                <w:b/>
                <w:sz w:val="18"/>
                <w:szCs w:val="18"/>
              </w:rPr>
              <w:t xml:space="preserve"> how the program ensures consistency across multiple </w:t>
            </w:r>
            <w:r w:rsidR="005F2E09" w:rsidRPr="00F908C0">
              <w:rPr>
                <w:rFonts w:ascii="Garamond" w:eastAsia="Garamond" w:hAnsi="Garamond" w:cs="Garamond"/>
                <w:b/>
                <w:sz w:val="18"/>
                <w:szCs w:val="18"/>
              </w:rPr>
              <w:t>administrations of the tools &amp;</w:t>
            </w:r>
            <w:r w:rsidRPr="00F908C0">
              <w:rPr>
                <w:rFonts w:ascii="Garamond" w:eastAsia="Garamond" w:hAnsi="Garamond" w:cs="Garamond"/>
                <w:b/>
                <w:sz w:val="18"/>
                <w:szCs w:val="18"/>
              </w:rPr>
              <w:t xml:space="preserve"> assignments (reliability)</w:t>
            </w:r>
          </w:p>
        </w:tc>
      </w:tr>
      <w:tr w:rsidR="00326A3C" w:rsidTr="005435F4">
        <w:tc>
          <w:tcPr>
            <w:tcW w:w="3235" w:type="dxa"/>
          </w:tcPr>
          <w:p w:rsidR="00DA56D4" w:rsidRDefault="00F1722A">
            <w:pPr>
              <w:numPr>
                <w:ilvl w:val="0"/>
                <w:numId w:val="5"/>
              </w:numPr>
              <w:ind w:left="144" w:hanging="144"/>
            </w:pPr>
            <w:r>
              <w:rPr>
                <w:rFonts w:ascii="Garamond" w:eastAsia="Garamond" w:hAnsi="Garamond" w:cs="Garamond"/>
                <w:sz w:val="18"/>
                <w:szCs w:val="18"/>
              </w:rPr>
              <w:t>It is unclear how the information provided relates to this assessment cycle.</w:t>
            </w:r>
          </w:p>
        </w:tc>
        <w:tc>
          <w:tcPr>
            <w:tcW w:w="3240" w:type="dxa"/>
          </w:tcPr>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Information is provided about the data collection process in this cycle, but not enough to generate confidence in the findings (</w:t>
            </w:r>
            <w:r>
              <w:rPr>
                <w:rFonts w:ascii="Garamond" w:eastAsia="Garamond" w:hAnsi="Garamond" w:cs="Garamond"/>
                <w:color w:val="333333"/>
                <w:sz w:val="18"/>
                <w:szCs w:val="18"/>
                <w:highlight w:val="white"/>
              </w:rPr>
              <w:t>e.g., sample size is too small, student motivation conditions are inconsistent, rubric is not normed with raters, etc.)</w:t>
            </w:r>
          </w:p>
          <w:p w:rsidR="00DA56D4" w:rsidRDefault="00F1722A">
            <w:pPr>
              <w:numPr>
                <w:ilvl w:val="0"/>
                <w:numId w:val="5"/>
              </w:numPr>
              <w:ind w:left="144" w:hanging="144"/>
            </w:pPr>
            <w:r>
              <w:rPr>
                <w:rFonts w:ascii="Garamond" w:eastAsia="Garamond" w:hAnsi="Garamond" w:cs="Garamond"/>
                <w:sz w:val="18"/>
                <w:szCs w:val="18"/>
              </w:rPr>
              <w:t>Process will provide</w:t>
            </w:r>
            <w:r>
              <w:rPr>
                <w:rFonts w:ascii="Garamond" w:eastAsia="Garamond" w:hAnsi="Garamond" w:cs="Garamond"/>
                <w:b/>
                <w:i/>
                <w:sz w:val="18"/>
                <w:szCs w:val="18"/>
              </w:rPr>
              <w:t xml:space="preserve"> limited</w:t>
            </w:r>
            <w:r>
              <w:rPr>
                <w:rFonts w:ascii="Garamond" w:eastAsia="Garamond" w:hAnsi="Garamond" w:cs="Garamond"/>
                <w:sz w:val="18"/>
                <w:szCs w:val="18"/>
              </w:rPr>
              <w:t xml:space="preserve"> information for guiding instruction and curriculum.</w:t>
            </w:r>
          </w:p>
        </w:tc>
        <w:tc>
          <w:tcPr>
            <w:tcW w:w="5490" w:type="dxa"/>
            <w:gridSpan w:val="2"/>
          </w:tcPr>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 xml:space="preserve">Enough information is provided about administration of the measurement tool and data collection process to generate confidence in the findings. This includes: </w:t>
            </w:r>
          </w:p>
          <w:p w:rsidR="0001610C" w:rsidRPr="0001610C" w:rsidRDefault="00F1722A" w:rsidP="00041B35">
            <w:pPr>
              <w:pStyle w:val="ListParagraph"/>
              <w:numPr>
                <w:ilvl w:val="0"/>
                <w:numId w:val="6"/>
              </w:numPr>
              <w:rPr>
                <w:rFonts w:ascii="Garamond" w:hAnsi="Garamond"/>
                <w:sz w:val="18"/>
              </w:rPr>
            </w:pPr>
            <w:r>
              <w:rPr>
                <w:rFonts w:ascii="Garamond" w:eastAsia="Garamond" w:hAnsi="Garamond" w:cs="Garamond"/>
                <w:sz w:val="18"/>
                <w:szCs w:val="18"/>
              </w:rPr>
              <w:t>adequate student population targeted with an assignment and measurement tool;</w:t>
            </w:r>
          </w:p>
          <w:p w:rsidR="0001610C" w:rsidRPr="0001610C" w:rsidRDefault="00F1722A" w:rsidP="00041B35">
            <w:pPr>
              <w:pStyle w:val="ListParagraph"/>
              <w:numPr>
                <w:ilvl w:val="0"/>
                <w:numId w:val="6"/>
              </w:numPr>
              <w:rPr>
                <w:rFonts w:ascii="Garamond" w:hAnsi="Garamond"/>
                <w:sz w:val="18"/>
              </w:rPr>
            </w:pPr>
            <w:r>
              <w:rPr>
                <w:rFonts w:ascii="Garamond" w:eastAsia="Garamond" w:hAnsi="Garamond" w:cs="Garamond"/>
                <w:sz w:val="18"/>
                <w:szCs w:val="18"/>
              </w:rPr>
              <w:t>sufficient sample size</w:t>
            </w:r>
            <w:r w:rsidR="00562932">
              <w:rPr>
                <w:rFonts w:ascii="Garamond" w:eastAsia="Garamond" w:hAnsi="Garamond" w:cs="Garamond"/>
                <w:sz w:val="18"/>
                <w:szCs w:val="18"/>
              </w:rPr>
              <w:t xml:space="preserve"> for statistically significant results</w:t>
            </w:r>
            <w:r>
              <w:rPr>
                <w:rFonts w:ascii="Garamond" w:eastAsia="Garamond" w:hAnsi="Garamond" w:cs="Garamond"/>
                <w:sz w:val="18"/>
                <w:szCs w:val="18"/>
              </w:rPr>
              <w:t xml:space="preserve"> (especially if different than the student population), with a rationale for representative sampling (if </w:t>
            </w:r>
            <w:r w:rsidR="00562932">
              <w:rPr>
                <w:rFonts w:ascii="Garamond" w:eastAsia="Garamond" w:hAnsi="Garamond" w:cs="Garamond"/>
                <w:sz w:val="18"/>
                <w:szCs w:val="18"/>
              </w:rPr>
              <w:t>appropriate</w:t>
            </w:r>
            <w:r>
              <w:rPr>
                <w:rFonts w:ascii="Garamond" w:eastAsia="Garamond" w:hAnsi="Garamond" w:cs="Garamond"/>
                <w:sz w:val="18"/>
                <w:szCs w:val="18"/>
              </w:rPr>
              <w:t>);</w:t>
            </w:r>
          </w:p>
          <w:p w:rsidR="0001610C" w:rsidRPr="0001610C" w:rsidRDefault="00F1722A" w:rsidP="00041B35">
            <w:pPr>
              <w:pStyle w:val="ListParagraph"/>
              <w:numPr>
                <w:ilvl w:val="0"/>
                <w:numId w:val="6"/>
              </w:numPr>
              <w:rPr>
                <w:rFonts w:ascii="Garamond" w:hAnsi="Garamond"/>
                <w:sz w:val="18"/>
              </w:rPr>
            </w:pPr>
            <w:r>
              <w:rPr>
                <w:rFonts w:ascii="Garamond" w:eastAsia="Garamond" w:hAnsi="Garamond" w:cs="Garamond"/>
                <w:sz w:val="18"/>
                <w:szCs w:val="18"/>
              </w:rPr>
              <w:t>consistent student motivation conditions across multiple administrations of the assignment and measurement tool;</w:t>
            </w:r>
          </w:p>
          <w:p w:rsidR="0001610C" w:rsidRPr="0001610C" w:rsidRDefault="00562932" w:rsidP="00041B35">
            <w:pPr>
              <w:pStyle w:val="ListParagraph"/>
              <w:numPr>
                <w:ilvl w:val="0"/>
                <w:numId w:val="6"/>
              </w:numPr>
              <w:rPr>
                <w:rFonts w:ascii="Garamond" w:hAnsi="Garamond"/>
                <w:sz w:val="18"/>
              </w:rPr>
            </w:pPr>
            <w:r>
              <w:rPr>
                <w:rFonts w:ascii="Garamond" w:eastAsia="Garamond" w:hAnsi="Garamond" w:cs="Garamond"/>
                <w:sz w:val="18"/>
                <w:szCs w:val="18"/>
              </w:rPr>
              <w:t xml:space="preserve">use of multiple raters for performance based assignments as well as norming and reconciliation </w:t>
            </w:r>
            <w:r w:rsidR="00E90535">
              <w:rPr>
                <w:rFonts w:ascii="Garamond" w:eastAsia="Garamond" w:hAnsi="Garamond" w:cs="Garamond"/>
                <w:sz w:val="18"/>
                <w:szCs w:val="18"/>
              </w:rPr>
              <w:t>process</w:t>
            </w:r>
            <w:r>
              <w:rPr>
                <w:rFonts w:ascii="Garamond" w:eastAsia="Garamond" w:hAnsi="Garamond" w:cs="Garamond"/>
                <w:sz w:val="18"/>
                <w:szCs w:val="18"/>
              </w:rPr>
              <w:t xml:space="preserve"> </w:t>
            </w:r>
            <w:r w:rsidR="00F1722A">
              <w:rPr>
                <w:rFonts w:ascii="Garamond" w:eastAsia="Garamond" w:hAnsi="Garamond" w:cs="Garamond"/>
                <w:sz w:val="18"/>
                <w:szCs w:val="18"/>
              </w:rPr>
              <w:t>(how all raters apply and score the measurement tool consistently)</w:t>
            </w:r>
          </w:p>
          <w:p w:rsidR="00DA56D4" w:rsidRDefault="00F1722A">
            <w:pPr>
              <w:numPr>
                <w:ilvl w:val="0"/>
                <w:numId w:val="5"/>
              </w:numPr>
              <w:ind w:left="144" w:hanging="144"/>
            </w:pPr>
            <w:r>
              <w:rPr>
                <w:rFonts w:ascii="Garamond" w:eastAsia="Garamond" w:hAnsi="Garamond" w:cs="Garamond"/>
                <w:sz w:val="18"/>
                <w:szCs w:val="18"/>
              </w:rPr>
              <w:t xml:space="preserve">Process will provide </w:t>
            </w:r>
            <w:r>
              <w:rPr>
                <w:rFonts w:ascii="Garamond" w:eastAsia="Garamond" w:hAnsi="Garamond" w:cs="Garamond"/>
                <w:b/>
                <w:i/>
                <w:sz w:val="18"/>
                <w:szCs w:val="18"/>
              </w:rPr>
              <w:t>useful</w:t>
            </w:r>
            <w:r>
              <w:rPr>
                <w:rFonts w:ascii="Garamond" w:eastAsia="Garamond" w:hAnsi="Garamond" w:cs="Garamond"/>
                <w:sz w:val="18"/>
                <w:szCs w:val="18"/>
              </w:rPr>
              <w:t xml:space="preserve"> information for guiding instruction and curriculum.</w:t>
            </w:r>
          </w:p>
        </w:tc>
        <w:tc>
          <w:tcPr>
            <w:tcW w:w="3155" w:type="dxa"/>
          </w:tcPr>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Information provided demonstrates that data collection occurs throughout the curriculum and involves multiple faculty members.</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Information is included about how data are collected, anonymized, and shared among faculty members.</w:t>
            </w:r>
          </w:p>
          <w:p w:rsidR="00DA56D4" w:rsidRDefault="00F1722A">
            <w:pPr>
              <w:numPr>
                <w:ilvl w:val="0"/>
                <w:numId w:val="5"/>
              </w:numPr>
              <w:ind w:left="144" w:hanging="144"/>
            </w:pPr>
            <w:r>
              <w:rPr>
                <w:rFonts w:ascii="Garamond" w:eastAsia="Garamond" w:hAnsi="Garamond" w:cs="Garamond"/>
                <w:sz w:val="18"/>
                <w:szCs w:val="18"/>
              </w:rPr>
              <w:t>An ongoing, inclusive, systematic process is in place for collecting data to make decisions and improve learning within the program, appropriate to the program</w:t>
            </w:r>
            <w:r w:rsidR="00896783">
              <w:rPr>
                <w:rFonts w:ascii="Garamond" w:eastAsia="Garamond" w:hAnsi="Garamond" w:cs="Garamond"/>
                <w:sz w:val="18"/>
                <w:szCs w:val="18"/>
              </w:rPr>
              <w:t>’</w:t>
            </w:r>
            <w:r>
              <w:rPr>
                <w:rFonts w:ascii="Garamond" w:eastAsia="Garamond" w:hAnsi="Garamond" w:cs="Garamond"/>
                <w:sz w:val="18"/>
                <w:szCs w:val="18"/>
              </w:rPr>
              <w:t>s internal and external constituencies.</w:t>
            </w:r>
          </w:p>
        </w:tc>
      </w:tr>
      <w:tr w:rsidR="00DA56D4" w:rsidRPr="00174F64" w:rsidTr="00C04FC8">
        <w:tc>
          <w:tcPr>
            <w:tcW w:w="15120" w:type="dxa"/>
            <w:gridSpan w:val="5"/>
            <w:shd w:val="clear" w:color="auto" w:fill="D9D9D9"/>
            <w:vAlign w:val="center"/>
          </w:tcPr>
          <w:p w:rsidR="00C04FC8" w:rsidRDefault="00C04FC8">
            <w:pPr>
              <w:contextualSpacing w:val="0"/>
              <w:rPr>
                <w:rFonts w:ascii="Garamond" w:eastAsia="Garamond" w:hAnsi="Garamond" w:cs="Garamond"/>
                <w:b/>
                <w:sz w:val="20"/>
                <w:szCs w:val="20"/>
              </w:rPr>
            </w:pPr>
            <w:r>
              <w:rPr>
                <w:rFonts w:ascii="Garamond" w:eastAsia="Garamond" w:hAnsi="Garamond" w:cs="Garamond"/>
                <w:b/>
                <w:sz w:val="20"/>
                <w:szCs w:val="20"/>
              </w:rPr>
              <w:t>E. RESULTS</w:t>
            </w:r>
          </w:p>
          <w:p w:rsidR="00DA56D4" w:rsidRPr="00F908C0" w:rsidRDefault="005F2E09">
            <w:pPr>
              <w:contextualSpacing w:val="0"/>
              <w:rPr>
                <w:rFonts w:ascii="Garamond" w:eastAsia="Garamond" w:hAnsi="Garamond" w:cs="Garamond"/>
                <w:b/>
                <w:sz w:val="20"/>
                <w:szCs w:val="20"/>
              </w:rPr>
            </w:pPr>
            <w:r w:rsidRPr="00F908C0">
              <w:rPr>
                <w:rFonts w:ascii="Garamond" w:eastAsia="Garamond" w:hAnsi="Garamond" w:cs="Garamond"/>
                <w:b/>
                <w:sz w:val="18"/>
                <w:szCs w:val="18"/>
              </w:rPr>
              <w:t>Clear &amp;</w:t>
            </w:r>
            <w:r w:rsidR="00F1722A" w:rsidRPr="00F908C0">
              <w:rPr>
                <w:rFonts w:ascii="Garamond" w:eastAsia="Garamond" w:hAnsi="Garamond" w:cs="Garamond"/>
                <w:b/>
                <w:sz w:val="18"/>
                <w:szCs w:val="18"/>
              </w:rPr>
              <w:t xml:space="preserve"> concise illustration of data c</w:t>
            </w:r>
            <w:r w:rsidRPr="00F908C0">
              <w:rPr>
                <w:rFonts w:ascii="Garamond" w:eastAsia="Garamond" w:hAnsi="Garamond" w:cs="Garamond"/>
                <w:b/>
                <w:sz w:val="18"/>
                <w:szCs w:val="18"/>
              </w:rPr>
              <w:t>ollected (presentation of data).</w:t>
            </w:r>
            <w:r w:rsidR="00F1722A" w:rsidRPr="00F908C0">
              <w:rPr>
                <w:rFonts w:ascii="Garamond" w:eastAsia="Garamond" w:hAnsi="Garamond" w:cs="Garamond"/>
                <w:b/>
                <w:sz w:val="18"/>
                <w:szCs w:val="18"/>
              </w:rPr>
              <w:t xml:space="preserve"> Includes a narrative or table/figure with sample size, count, averages</w:t>
            </w:r>
            <w:r w:rsidRPr="00F908C0">
              <w:rPr>
                <w:rFonts w:ascii="Garamond" w:eastAsia="Garamond" w:hAnsi="Garamond" w:cs="Garamond"/>
                <w:b/>
                <w:sz w:val="18"/>
                <w:szCs w:val="18"/>
              </w:rPr>
              <w:t>, percentages, &amp;</w:t>
            </w:r>
            <w:r w:rsidR="00F1722A" w:rsidRPr="00F908C0">
              <w:rPr>
                <w:rFonts w:ascii="Garamond" w:eastAsia="Garamond" w:hAnsi="Garamond" w:cs="Garamond"/>
                <w:b/>
                <w:sz w:val="18"/>
                <w:szCs w:val="18"/>
              </w:rPr>
              <w:t xml:space="preserve"> ranges as appropriate to the assessment tool</w:t>
            </w:r>
          </w:p>
        </w:tc>
      </w:tr>
      <w:tr w:rsidR="00C04FC8" w:rsidTr="005435F4">
        <w:tc>
          <w:tcPr>
            <w:tcW w:w="3235" w:type="dxa"/>
            <w:shd w:val="clear" w:color="auto" w:fill="FFFFFF"/>
          </w:tcPr>
          <w:p w:rsidR="00DA56D4" w:rsidRDefault="00F1722A">
            <w:pPr>
              <w:numPr>
                <w:ilvl w:val="0"/>
                <w:numId w:val="5"/>
              </w:numPr>
              <w:ind w:left="144" w:hanging="144"/>
            </w:pPr>
            <w:r>
              <w:rPr>
                <w:rFonts w:ascii="Garamond" w:eastAsia="Garamond" w:hAnsi="Garamond" w:cs="Garamond"/>
                <w:sz w:val="18"/>
                <w:szCs w:val="18"/>
              </w:rPr>
              <w:t>No results are presented, or it is unclear how the results relate to the SLO.</w:t>
            </w:r>
          </w:p>
        </w:tc>
        <w:tc>
          <w:tcPr>
            <w:tcW w:w="3240" w:type="dxa"/>
            <w:shd w:val="clear" w:color="auto" w:fill="FFFFFF"/>
          </w:tcPr>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Results are presented and relate to the SLO, but a lack of specificity does not allow useful conclusions to be drawn.</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Results are presented by measure instead of by SLO.</w:t>
            </w:r>
          </w:p>
          <w:p w:rsidR="00DA56D4" w:rsidRDefault="00F1722A">
            <w:pPr>
              <w:numPr>
                <w:ilvl w:val="0"/>
                <w:numId w:val="5"/>
              </w:numPr>
              <w:ind w:left="144" w:hanging="144"/>
            </w:pPr>
            <w:r>
              <w:rPr>
                <w:rFonts w:ascii="Garamond" w:eastAsia="Garamond" w:hAnsi="Garamond" w:cs="Garamond"/>
                <w:sz w:val="18"/>
                <w:szCs w:val="18"/>
              </w:rPr>
              <w:t xml:space="preserve">Presentation is insufficiently detailed; only overall student scores or averages are presented. </w:t>
            </w:r>
          </w:p>
        </w:tc>
        <w:tc>
          <w:tcPr>
            <w:tcW w:w="5490" w:type="dxa"/>
            <w:gridSpan w:val="2"/>
            <w:shd w:val="clear" w:color="auto" w:fill="FFFFFF"/>
          </w:tcPr>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 xml:space="preserve">Results are presented by SLO. </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 xml:space="preserve">Tables and graphs effectively communicate results, including sample size, count, averages, percentages, and ranges, as appropriate to the measurement tool. </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For objective tests, results are presented according to items or groups of items connected to a SLO, as demonstrated in the test blueprint.</w:t>
            </w:r>
          </w:p>
          <w:p w:rsidR="00DA56D4" w:rsidRDefault="00F1722A">
            <w:pPr>
              <w:numPr>
                <w:ilvl w:val="0"/>
                <w:numId w:val="5"/>
              </w:numPr>
              <w:ind w:left="144" w:hanging="144"/>
            </w:pPr>
            <w:r>
              <w:rPr>
                <w:rFonts w:ascii="Garamond" w:eastAsia="Garamond" w:hAnsi="Garamond" w:cs="Garamond"/>
                <w:sz w:val="18"/>
                <w:szCs w:val="18"/>
              </w:rPr>
              <w:t>For rubrics, results are presented according to rubric trait and level, including counts and percentages.</w:t>
            </w:r>
          </w:p>
        </w:tc>
        <w:tc>
          <w:tcPr>
            <w:tcW w:w="3155" w:type="dxa"/>
            <w:shd w:val="clear" w:color="auto" w:fill="FFFFFF"/>
          </w:tcPr>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Results are easily understood, as well as their implications.</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Strengths and weaknesses in student learning are easily identified.</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For an objective test, results are presented according to the test blueprint and include item analysis information.</w:t>
            </w:r>
          </w:p>
          <w:p w:rsidR="0001610C" w:rsidRPr="00896783" w:rsidRDefault="00F1722A">
            <w:pPr>
              <w:numPr>
                <w:ilvl w:val="0"/>
                <w:numId w:val="5"/>
              </w:numPr>
              <w:ind w:left="144" w:hanging="144"/>
              <w:rPr>
                <w:rFonts w:ascii="Garamond" w:eastAsia="Garamond" w:hAnsi="Garamond" w:cs="Garamond"/>
                <w:sz w:val="18"/>
                <w:szCs w:val="18"/>
              </w:rPr>
            </w:pPr>
            <w:r w:rsidRPr="00896783">
              <w:rPr>
                <w:rFonts w:ascii="Garamond" w:eastAsia="Garamond" w:hAnsi="Garamond" w:cs="Garamond"/>
                <w:color w:val="auto"/>
                <w:sz w:val="18"/>
                <w:szCs w:val="18"/>
                <w:shd w:val="clear" w:color="auto" w:fill="F5F5F5"/>
              </w:rPr>
              <w:t>For rubrics, inter-rater reliability is ensured through reconciliation of scores</w:t>
            </w:r>
            <w:r w:rsidR="00562932">
              <w:rPr>
                <w:rFonts w:ascii="Garamond" w:eastAsia="Garamond" w:hAnsi="Garamond" w:cs="Garamond"/>
                <w:color w:val="auto"/>
                <w:sz w:val="18"/>
                <w:szCs w:val="18"/>
                <w:shd w:val="clear" w:color="auto" w:fill="F5F5F5"/>
              </w:rPr>
              <w:t xml:space="preserve"> across multiple raters</w:t>
            </w:r>
          </w:p>
          <w:p w:rsidR="00DA56D4" w:rsidRDefault="00F1722A">
            <w:pPr>
              <w:numPr>
                <w:ilvl w:val="0"/>
                <w:numId w:val="5"/>
              </w:numPr>
              <w:ind w:left="144" w:hanging="144"/>
            </w:pPr>
            <w:r w:rsidRPr="00896783">
              <w:rPr>
                <w:rFonts w:ascii="Garamond" w:eastAsia="Garamond" w:hAnsi="Garamond" w:cs="Garamond"/>
                <w:sz w:val="18"/>
                <w:szCs w:val="18"/>
              </w:rPr>
              <w:t>New findings are compar</w:t>
            </w:r>
            <w:r>
              <w:rPr>
                <w:rFonts w:ascii="Garamond" w:eastAsia="Garamond" w:hAnsi="Garamond" w:cs="Garamond"/>
                <w:sz w:val="18"/>
                <w:szCs w:val="18"/>
              </w:rPr>
              <w:t>ed to past trends, as appropriate.</w:t>
            </w:r>
          </w:p>
        </w:tc>
      </w:tr>
      <w:tr w:rsidR="00552BD7" w:rsidRPr="00184406" w:rsidTr="005435F4">
        <w:trPr>
          <w:trHeight w:val="20"/>
        </w:trPr>
        <w:tc>
          <w:tcPr>
            <w:tcW w:w="3235" w:type="dxa"/>
            <w:shd w:val="clear" w:color="auto" w:fill="A6A6A6"/>
            <w:vAlign w:val="bottom"/>
          </w:tcPr>
          <w:p w:rsidR="00326A3C" w:rsidRPr="00184406" w:rsidRDefault="00326A3C" w:rsidP="00E31B93">
            <w:pPr>
              <w:contextualSpacing w:val="0"/>
              <w:jc w:val="center"/>
              <w:rPr>
                <w:sz w:val="24"/>
                <w:szCs w:val="24"/>
              </w:rPr>
            </w:pPr>
            <w:r w:rsidRPr="00184406">
              <w:rPr>
                <w:rFonts w:ascii="Garamond" w:eastAsia="Garamond" w:hAnsi="Garamond" w:cs="Garamond"/>
                <w:b/>
                <w:sz w:val="24"/>
                <w:szCs w:val="24"/>
              </w:rPr>
              <w:lastRenderedPageBreak/>
              <w:t>1 - BEGINNING</w:t>
            </w:r>
          </w:p>
        </w:tc>
        <w:tc>
          <w:tcPr>
            <w:tcW w:w="3240" w:type="dxa"/>
            <w:shd w:val="clear" w:color="auto" w:fill="A6A6A6"/>
            <w:vAlign w:val="bottom"/>
          </w:tcPr>
          <w:p w:rsidR="00326A3C" w:rsidRPr="00184406" w:rsidRDefault="00326A3C" w:rsidP="00E31B93">
            <w:pPr>
              <w:contextualSpacing w:val="0"/>
              <w:jc w:val="center"/>
              <w:rPr>
                <w:sz w:val="24"/>
                <w:szCs w:val="24"/>
              </w:rPr>
            </w:pPr>
            <w:r w:rsidRPr="00184406">
              <w:rPr>
                <w:rFonts w:ascii="Garamond" w:eastAsia="Garamond" w:hAnsi="Garamond" w:cs="Garamond"/>
                <w:b/>
                <w:sz w:val="24"/>
                <w:szCs w:val="24"/>
              </w:rPr>
              <w:t>2 - DEVELOPING</w:t>
            </w:r>
          </w:p>
        </w:tc>
        <w:tc>
          <w:tcPr>
            <w:tcW w:w="5490" w:type="dxa"/>
            <w:gridSpan w:val="2"/>
            <w:shd w:val="clear" w:color="auto" w:fill="A6A6A6"/>
            <w:vAlign w:val="bottom"/>
          </w:tcPr>
          <w:p w:rsidR="00326A3C" w:rsidRPr="00184406" w:rsidRDefault="00326A3C" w:rsidP="00E31B93">
            <w:pPr>
              <w:contextualSpacing w:val="0"/>
              <w:jc w:val="center"/>
              <w:rPr>
                <w:sz w:val="24"/>
                <w:szCs w:val="24"/>
              </w:rPr>
            </w:pPr>
            <w:r w:rsidRPr="00184406">
              <w:rPr>
                <w:rFonts w:ascii="Garamond" w:eastAsia="Garamond" w:hAnsi="Garamond" w:cs="Garamond"/>
                <w:b/>
                <w:sz w:val="24"/>
                <w:szCs w:val="24"/>
              </w:rPr>
              <w:t>3 - ACCEPTABLE</w:t>
            </w:r>
          </w:p>
        </w:tc>
        <w:tc>
          <w:tcPr>
            <w:tcW w:w="3155" w:type="dxa"/>
            <w:shd w:val="clear" w:color="auto" w:fill="A6A6A6"/>
            <w:vAlign w:val="bottom"/>
          </w:tcPr>
          <w:p w:rsidR="00326A3C" w:rsidRPr="00184406" w:rsidRDefault="00326A3C" w:rsidP="00E31B93">
            <w:pPr>
              <w:contextualSpacing w:val="0"/>
              <w:jc w:val="center"/>
              <w:rPr>
                <w:sz w:val="24"/>
                <w:szCs w:val="24"/>
              </w:rPr>
            </w:pPr>
            <w:r w:rsidRPr="00184406">
              <w:rPr>
                <w:rFonts w:ascii="Garamond" w:eastAsia="Garamond" w:hAnsi="Garamond" w:cs="Garamond"/>
                <w:b/>
                <w:sz w:val="24"/>
                <w:szCs w:val="24"/>
              </w:rPr>
              <w:t>4 - EXEMPLARY</w:t>
            </w:r>
          </w:p>
        </w:tc>
      </w:tr>
      <w:tr w:rsidR="00DA56D4" w:rsidRPr="00174F64" w:rsidTr="00C04FC8">
        <w:tc>
          <w:tcPr>
            <w:tcW w:w="15120" w:type="dxa"/>
            <w:gridSpan w:val="5"/>
            <w:shd w:val="clear" w:color="auto" w:fill="D9D9D9"/>
            <w:vAlign w:val="center"/>
          </w:tcPr>
          <w:p w:rsidR="00E101D5" w:rsidRPr="00174F64" w:rsidRDefault="00E101D5">
            <w:pPr>
              <w:contextualSpacing w:val="0"/>
              <w:rPr>
                <w:rFonts w:ascii="Garamond" w:eastAsia="Garamond" w:hAnsi="Garamond" w:cs="Garamond"/>
                <w:b/>
                <w:sz w:val="20"/>
                <w:szCs w:val="20"/>
              </w:rPr>
            </w:pPr>
            <w:r w:rsidRPr="00174F64">
              <w:rPr>
                <w:rFonts w:ascii="Garamond" w:eastAsia="Garamond" w:hAnsi="Garamond" w:cs="Garamond"/>
                <w:b/>
                <w:sz w:val="20"/>
                <w:szCs w:val="20"/>
              </w:rPr>
              <w:t>F. DISCUSSION</w:t>
            </w:r>
          </w:p>
          <w:p w:rsidR="00DA56D4" w:rsidRPr="005F2E09" w:rsidRDefault="00F1722A" w:rsidP="005F2E09">
            <w:pPr>
              <w:contextualSpacing w:val="0"/>
              <w:rPr>
                <w:rFonts w:ascii="Garamond" w:eastAsia="Garamond" w:hAnsi="Garamond" w:cs="Garamond"/>
                <w:b/>
                <w:sz w:val="18"/>
                <w:szCs w:val="18"/>
              </w:rPr>
            </w:pPr>
            <w:r w:rsidRPr="005F2E09">
              <w:rPr>
                <w:rFonts w:ascii="Garamond" w:eastAsia="Garamond" w:hAnsi="Garamond" w:cs="Garamond"/>
                <w:b/>
                <w:sz w:val="18"/>
                <w:szCs w:val="18"/>
              </w:rPr>
              <w:t xml:space="preserve">Explains the meaningfulness of the data presented </w:t>
            </w:r>
            <w:r w:rsidR="005F2E09">
              <w:rPr>
                <w:rFonts w:ascii="Garamond" w:eastAsia="Garamond" w:hAnsi="Garamond" w:cs="Garamond"/>
                <w:b/>
                <w:sz w:val="18"/>
                <w:szCs w:val="18"/>
              </w:rPr>
              <w:t>above</w:t>
            </w:r>
            <w:r w:rsidRPr="005F2E09">
              <w:rPr>
                <w:rFonts w:ascii="Garamond" w:eastAsia="Garamond" w:hAnsi="Garamond" w:cs="Garamond"/>
                <w:b/>
                <w:sz w:val="18"/>
                <w:szCs w:val="18"/>
              </w:rPr>
              <w:t xml:space="preserve"> (interpretation of resu</w:t>
            </w:r>
            <w:r w:rsidR="005F2E09">
              <w:rPr>
                <w:rFonts w:ascii="Garamond" w:eastAsia="Garamond" w:hAnsi="Garamond" w:cs="Garamond"/>
                <w:b/>
                <w:sz w:val="18"/>
                <w:szCs w:val="18"/>
              </w:rPr>
              <w:t>lts) with a clear, complete, &amp;</w:t>
            </w:r>
            <w:r w:rsidRPr="005F2E09">
              <w:rPr>
                <w:rFonts w:ascii="Garamond" w:eastAsia="Garamond" w:hAnsi="Garamond" w:cs="Garamond"/>
                <w:b/>
                <w:sz w:val="18"/>
                <w:szCs w:val="18"/>
              </w:rPr>
              <w:t xml:space="preserve"> succinct analysis focus</w:t>
            </w:r>
            <w:r w:rsidR="005F2E09">
              <w:rPr>
                <w:rFonts w:ascii="Garamond" w:eastAsia="Garamond" w:hAnsi="Garamond" w:cs="Garamond"/>
                <w:b/>
                <w:sz w:val="18"/>
                <w:szCs w:val="18"/>
              </w:rPr>
              <w:t>ing on the interpretation of &amp;</w:t>
            </w:r>
            <w:r w:rsidRPr="005F2E09">
              <w:rPr>
                <w:rFonts w:ascii="Garamond" w:eastAsia="Garamond" w:hAnsi="Garamond" w:cs="Garamond"/>
                <w:b/>
                <w:sz w:val="18"/>
                <w:szCs w:val="18"/>
              </w:rPr>
              <w:t xml:space="preserve"> reflection on the assessment data</w:t>
            </w:r>
          </w:p>
        </w:tc>
      </w:tr>
      <w:tr w:rsidR="00C04FC8" w:rsidTr="005435F4">
        <w:tc>
          <w:tcPr>
            <w:tcW w:w="3235" w:type="dxa"/>
            <w:shd w:val="clear" w:color="auto" w:fill="FFFFFF"/>
          </w:tcPr>
          <w:p w:rsidR="00DA56D4" w:rsidRDefault="00F1722A">
            <w:pPr>
              <w:numPr>
                <w:ilvl w:val="0"/>
                <w:numId w:val="5"/>
              </w:numPr>
              <w:ind w:left="144" w:hanging="144"/>
            </w:pPr>
            <w:r>
              <w:rPr>
                <w:rFonts w:ascii="Garamond" w:eastAsia="Garamond" w:hAnsi="Garamond" w:cs="Garamond"/>
                <w:sz w:val="18"/>
                <w:szCs w:val="18"/>
              </w:rPr>
              <w:t>No interpretation is attempted, or the interpretation does not relate to the SLO and/or the results.</w:t>
            </w:r>
          </w:p>
        </w:tc>
        <w:tc>
          <w:tcPr>
            <w:tcW w:w="3240" w:type="dxa"/>
            <w:shd w:val="clear" w:color="auto" w:fill="FFFFFF"/>
          </w:tcPr>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Interpretation is attempted, relates to the SLO and/or results, but the interpretation is either:</w:t>
            </w:r>
          </w:p>
          <w:p w:rsidR="0001610C" w:rsidRPr="0001610C" w:rsidRDefault="00F1722A" w:rsidP="00041B35">
            <w:pPr>
              <w:pStyle w:val="ListParagraph"/>
              <w:numPr>
                <w:ilvl w:val="0"/>
                <w:numId w:val="6"/>
              </w:numPr>
              <w:rPr>
                <w:rFonts w:ascii="Garamond" w:hAnsi="Garamond"/>
                <w:sz w:val="18"/>
              </w:rPr>
            </w:pPr>
            <w:r>
              <w:rPr>
                <w:rFonts w:ascii="Garamond" w:eastAsia="Garamond" w:hAnsi="Garamond" w:cs="Garamond"/>
                <w:sz w:val="18"/>
                <w:szCs w:val="18"/>
              </w:rPr>
              <w:t>insufficient to support programmatic decisions,</w:t>
            </w:r>
          </w:p>
          <w:p w:rsidR="0001610C" w:rsidRPr="0001610C" w:rsidRDefault="00F1722A" w:rsidP="00041B35">
            <w:pPr>
              <w:pStyle w:val="ListParagraph"/>
              <w:numPr>
                <w:ilvl w:val="0"/>
                <w:numId w:val="6"/>
              </w:numPr>
              <w:rPr>
                <w:rFonts w:ascii="Garamond" w:hAnsi="Garamond"/>
                <w:sz w:val="18"/>
              </w:rPr>
            </w:pPr>
            <w:r>
              <w:rPr>
                <w:rFonts w:ascii="Garamond" w:eastAsia="Garamond" w:hAnsi="Garamond" w:cs="Garamond"/>
                <w:sz w:val="18"/>
                <w:szCs w:val="18"/>
              </w:rPr>
              <w:t>not aligned with the program</w:t>
            </w:r>
            <w:r w:rsidR="00896783">
              <w:rPr>
                <w:rFonts w:ascii="Garamond" w:eastAsia="Garamond" w:hAnsi="Garamond" w:cs="Garamond"/>
                <w:sz w:val="18"/>
                <w:szCs w:val="18"/>
              </w:rPr>
              <w:t>’</w:t>
            </w:r>
            <w:r>
              <w:rPr>
                <w:rFonts w:ascii="Garamond" w:eastAsia="Garamond" w:hAnsi="Garamond" w:cs="Garamond"/>
                <w:sz w:val="18"/>
                <w:szCs w:val="18"/>
              </w:rPr>
              <w:t>s previous action plans,</w:t>
            </w:r>
          </w:p>
          <w:p w:rsidR="00DA56D4" w:rsidRDefault="00F1722A" w:rsidP="00E101D5">
            <w:pPr>
              <w:pStyle w:val="ListParagraph"/>
              <w:numPr>
                <w:ilvl w:val="0"/>
                <w:numId w:val="6"/>
              </w:numPr>
              <w:rPr>
                <w:rFonts w:ascii="Garamond" w:eastAsia="Garamond" w:hAnsi="Garamond" w:cs="Garamond"/>
                <w:sz w:val="18"/>
                <w:szCs w:val="18"/>
              </w:rPr>
            </w:pPr>
            <w:proofErr w:type="gramStart"/>
            <w:r>
              <w:rPr>
                <w:rFonts w:ascii="Garamond" w:eastAsia="Garamond" w:hAnsi="Garamond" w:cs="Garamond"/>
                <w:sz w:val="18"/>
                <w:szCs w:val="18"/>
              </w:rPr>
              <w:t>offering</w:t>
            </w:r>
            <w:proofErr w:type="gramEnd"/>
            <w:r>
              <w:rPr>
                <w:rFonts w:ascii="Garamond" w:eastAsia="Garamond" w:hAnsi="Garamond" w:cs="Garamond"/>
                <w:sz w:val="18"/>
                <w:szCs w:val="18"/>
              </w:rPr>
              <w:t xml:space="preserve"> excuses for results rather than thoughtful interpretations leading to improvements in student learning.</w:t>
            </w:r>
          </w:p>
        </w:tc>
        <w:tc>
          <w:tcPr>
            <w:tcW w:w="5490" w:type="dxa"/>
            <w:gridSpan w:val="2"/>
            <w:shd w:val="clear" w:color="auto" w:fill="FFFFFF"/>
          </w:tcPr>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Interpretation is aligned with the program</w:t>
            </w:r>
            <w:r w:rsidR="00896783">
              <w:rPr>
                <w:rFonts w:ascii="Garamond" w:eastAsia="Garamond" w:hAnsi="Garamond" w:cs="Garamond"/>
                <w:sz w:val="18"/>
                <w:szCs w:val="18"/>
              </w:rPr>
              <w:t>’</w:t>
            </w:r>
            <w:r>
              <w:rPr>
                <w:rFonts w:ascii="Garamond" w:eastAsia="Garamond" w:hAnsi="Garamond" w:cs="Garamond"/>
                <w:sz w:val="18"/>
                <w:szCs w:val="18"/>
              </w:rPr>
              <w:t>s SLOs.</w:t>
            </w:r>
          </w:p>
          <w:p w:rsidR="0001610C" w:rsidRPr="0001610C" w:rsidRDefault="00F1722A">
            <w:pPr>
              <w:numPr>
                <w:ilvl w:val="0"/>
                <w:numId w:val="5"/>
              </w:numPr>
              <w:ind w:left="144" w:hanging="144"/>
              <w:rPr>
                <w:rFonts w:ascii="Garamond" w:hAnsi="Garamond"/>
                <w:sz w:val="18"/>
                <w:szCs w:val="18"/>
              </w:rPr>
            </w:pPr>
            <w:r>
              <w:rPr>
                <w:rFonts w:ascii="Garamond" w:eastAsia="Garamond" w:hAnsi="Garamond" w:cs="Garamond"/>
                <w:sz w:val="18"/>
                <w:szCs w:val="18"/>
              </w:rPr>
              <w:t>Interpretation is explained in terms of the desired levels of student performance, and is based on student achievement of those levels.</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Interpretation is justified through current disciplinary standards, previous results and/or benchmarks.</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Interpretation includes how courses, experiences, and/or the assessment process might have affected results.</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Interpretation indicates the appropriate collaboration and consensus of multiple internal stakeholders (e.g., program faculty, committees, staff, and/or students).</w:t>
            </w:r>
          </w:p>
          <w:p w:rsidR="00DA56D4" w:rsidRDefault="00F1722A">
            <w:pPr>
              <w:numPr>
                <w:ilvl w:val="0"/>
                <w:numId w:val="5"/>
              </w:numPr>
              <w:ind w:left="144" w:hanging="144"/>
            </w:pPr>
            <w:r>
              <w:rPr>
                <w:rFonts w:ascii="Garamond" w:eastAsia="Garamond" w:hAnsi="Garamond" w:cs="Garamond"/>
                <w:sz w:val="18"/>
                <w:szCs w:val="18"/>
              </w:rPr>
              <w:t>Interpretation is detailed enough to justify programmatic decisions concerning changes in instruction and/or curriculum.</w:t>
            </w:r>
          </w:p>
        </w:tc>
        <w:tc>
          <w:tcPr>
            <w:tcW w:w="3155" w:type="dxa"/>
            <w:shd w:val="clear" w:color="auto" w:fill="FFFFFF"/>
          </w:tcPr>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Interpretation directly addresses the program</w:t>
            </w:r>
            <w:r w:rsidR="00896783">
              <w:rPr>
                <w:rFonts w:ascii="Garamond" w:eastAsia="Garamond" w:hAnsi="Garamond" w:cs="Garamond"/>
                <w:sz w:val="18"/>
                <w:szCs w:val="18"/>
              </w:rPr>
              <w:t>’</w:t>
            </w:r>
            <w:r>
              <w:rPr>
                <w:rFonts w:ascii="Garamond" w:eastAsia="Garamond" w:hAnsi="Garamond" w:cs="Garamond"/>
                <w:sz w:val="18"/>
                <w:szCs w:val="18"/>
              </w:rPr>
              <w:t>s mission, SLOs, and action plans.</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Interpretation addresses past trends in student performance, as appropriate.</w:t>
            </w:r>
          </w:p>
          <w:p w:rsidR="00DA56D4" w:rsidRDefault="00F1722A">
            <w:pPr>
              <w:numPr>
                <w:ilvl w:val="0"/>
                <w:numId w:val="5"/>
              </w:numPr>
              <w:ind w:left="144" w:hanging="144"/>
            </w:pPr>
            <w:r>
              <w:rPr>
                <w:rFonts w:ascii="Garamond" w:eastAsia="Garamond" w:hAnsi="Garamond" w:cs="Garamond"/>
                <w:sz w:val="18"/>
                <w:szCs w:val="18"/>
              </w:rPr>
              <w:t>Interpretation identifies possible areas of improvement, thus initiating future actions.</w:t>
            </w:r>
          </w:p>
        </w:tc>
      </w:tr>
      <w:tr w:rsidR="00DA56D4" w:rsidRPr="00174F64" w:rsidTr="00C04FC8">
        <w:tc>
          <w:tcPr>
            <w:tcW w:w="15120" w:type="dxa"/>
            <w:gridSpan w:val="5"/>
            <w:shd w:val="clear" w:color="auto" w:fill="D9D9D9"/>
            <w:vAlign w:val="center"/>
          </w:tcPr>
          <w:p w:rsidR="00E101D5" w:rsidRPr="00174F64" w:rsidRDefault="00D47C45" w:rsidP="00D47C45">
            <w:pPr>
              <w:contextualSpacing w:val="0"/>
              <w:rPr>
                <w:rFonts w:ascii="Garamond" w:eastAsia="Garamond" w:hAnsi="Garamond" w:cs="Garamond"/>
                <w:b/>
                <w:sz w:val="20"/>
                <w:szCs w:val="20"/>
              </w:rPr>
            </w:pPr>
            <w:r w:rsidRPr="00174F64">
              <w:rPr>
                <w:rFonts w:ascii="Garamond" w:eastAsia="Garamond" w:hAnsi="Garamond" w:cs="Garamond"/>
                <w:b/>
                <w:sz w:val="20"/>
                <w:szCs w:val="20"/>
              </w:rPr>
              <w:t>G. ACTION PLAN I:</w:t>
            </w:r>
            <w:r w:rsidR="00F1722A" w:rsidRPr="00174F64">
              <w:rPr>
                <w:rFonts w:ascii="Garamond" w:eastAsia="Garamond" w:hAnsi="Garamond" w:cs="Garamond"/>
                <w:b/>
                <w:sz w:val="20"/>
                <w:szCs w:val="20"/>
              </w:rPr>
              <w:t xml:space="preserve"> I</w:t>
            </w:r>
            <w:r w:rsidRPr="00174F64">
              <w:rPr>
                <w:rFonts w:ascii="Garamond" w:eastAsia="Garamond" w:hAnsi="Garamond" w:cs="Garamond"/>
                <w:b/>
                <w:sz w:val="20"/>
                <w:szCs w:val="20"/>
              </w:rPr>
              <w:t>MPACT O</w:t>
            </w:r>
            <w:r w:rsidR="00E101D5" w:rsidRPr="00174F64">
              <w:rPr>
                <w:rFonts w:ascii="Garamond" w:eastAsia="Garamond" w:hAnsi="Garamond" w:cs="Garamond"/>
                <w:b/>
                <w:sz w:val="20"/>
                <w:szCs w:val="20"/>
              </w:rPr>
              <w:t>F PAST IMPROVEMENTS AND CHANGES</w:t>
            </w:r>
          </w:p>
          <w:p w:rsidR="00DA56D4" w:rsidRPr="005F2E09" w:rsidRDefault="00F1722A" w:rsidP="00D47C45">
            <w:pPr>
              <w:contextualSpacing w:val="0"/>
              <w:rPr>
                <w:rFonts w:ascii="Garamond" w:eastAsia="Garamond" w:hAnsi="Garamond" w:cs="Garamond"/>
                <w:b/>
                <w:sz w:val="18"/>
                <w:szCs w:val="18"/>
              </w:rPr>
            </w:pPr>
            <w:r w:rsidRPr="005F2E09">
              <w:rPr>
                <w:rFonts w:ascii="Garamond" w:eastAsia="Garamond" w:hAnsi="Garamond" w:cs="Garamond"/>
                <w:b/>
                <w:sz w:val="18"/>
                <w:szCs w:val="18"/>
              </w:rPr>
              <w:t xml:space="preserve">Proposed action plan from the previous cycle is included, who implemented </w:t>
            </w:r>
            <w:r w:rsidR="005F2E09">
              <w:rPr>
                <w:rFonts w:ascii="Garamond" w:eastAsia="Garamond" w:hAnsi="Garamond" w:cs="Garamond"/>
                <w:b/>
                <w:sz w:val="18"/>
                <w:szCs w:val="18"/>
              </w:rPr>
              <w:t>it, when it was implemented, &amp;</w:t>
            </w:r>
            <w:r w:rsidRPr="005F2E09">
              <w:rPr>
                <w:rFonts w:ascii="Garamond" w:eastAsia="Garamond" w:hAnsi="Garamond" w:cs="Garamond"/>
                <w:b/>
                <w:sz w:val="18"/>
                <w:szCs w:val="18"/>
              </w:rPr>
              <w:t xml:space="preserve"> outcome of the implementation</w:t>
            </w:r>
          </w:p>
        </w:tc>
      </w:tr>
      <w:tr w:rsidR="00C04FC8" w:rsidTr="005435F4">
        <w:tc>
          <w:tcPr>
            <w:tcW w:w="3235" w:type="dxa"/>
            <w:shd w:val="clear" w:color="auto" w:fill="FFFFFF"/>
          </w:tcPr>
          <w:p w:rsidR="0001610C" w:rsidRPr="0001610C" w:rsidRDefault="00F1722A">
            <w:pPr>
              <w:numPr>
                <w:ilvl w:val="0"/>
                <w:numId w:val="5"/>
              </w:numPr>
              <w:ind w:left="144" w:hanging="144"/>
              <w:rPr>
                <w:rFonts w:ascii="Garamond" w:hAnsi="Garamond"/>
                <w:sz w:val="18"/>
              </w:rPr>
            </w:pPr>
            <w:bookmarkStart w:id="2" w:name="_GoBack"/>
            <w:bookmarkEnd w:id="2"/>
            <w:r>
              <w:rPr>
                <w:rFonts w:ascii="Garamond" w:eastAsia="Garamond" w:hAnsi="Garamond" w:cs="Garamond"/>
                <w:sz w:val="18"/>
                <w:szCs w:val="18"/>
              </w:rPr>
              <w:t>No actions taken during the current cycle.</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No justification is given for actions taken during the current cycle that were not based on the prior year</w:t>
            </w:r>
            <w:r w:rsidR="00896783">
              <w:rPr>
                <w:rFonts w:ascii="Garamond" w:eastAsia="Garamond" w:hAnsi="Garamond" w:cs="Garamond"/>
                <w:sz w:val="18"/>
                <w:szCs w:val="18"/>
              </w:rPr>
              <w:t>’</w:t>
            </w:r>
            <w:r>
              <w:rPr>
                <w:rFonts w:ascii="Garamond" w:eastAsia="Garamond" w:hAnsi="Garamond" w:cs="Garamond"/>
                <w:sz w:val="18"/>
                <w:szCs w:val="18"/>
              </w:rPr>
              <w:t>s action plan.</w:t>
            </w:r>
          </w:p>
          <w:p w:rsidR="00DA56D4" w:rsidRDefault="00F1722A">
            <w:pPr>
              <w:numPr>
                <w:ilvl w:val="0"/>
                <w:numId w:val="5"/>
              </w:numPr>
              <w:ind w:left="144" w:hanging="144"/>
            </w:pPr>
            <w:r>
              <w:rPr>
                <w:rFonts w:ascii="Garamond" w:eastAsia="Garamond" w:hAnsi="Garamond" w:cs="Garamond"/>
                <w:sz w:val="18"/>
                <w:szCs w:val="18"/>
              </w:rPr>
              <w:t>Actions taken during the current cycle seem unrelated to the prior year</w:t>
            </w:r>
            <w:r w:rsidR="00896783">
              <w:rPr>
                <w:rFonts w:ascii="Garamond" w:eastAsia="Garamond" w:hAnsi="Garamond" w:cs="Garamond"/>
                <w:sz w:val="18"/>
                <w:szCs w:val="18"/>
              </w:rPr>
              <w:t>’</w:t>
            </w:r>
            <w:r>
              <w:rPr>
                <w:rFonts w:ascii="Garamond" w:eastAsia="Garamond" w:hAnsi="Garamond" w:cs="Garamond"/>
                <w:sz w:val="18"/>
                <w:szCs w:val="18"/>
              </w:rPr>
              <w:t>s action plan.</w:t>
            </w:r>
          </w:p>
        </w:tc>
        <w:tc>
          <w:tcPr>
            <w:tcW w:w="3240" w:type="dxa"/>
            <w:shd w:val="clear" w:color="auto" w:fill="FFFFFF"/>
          </w:tcPr>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A copy of the proposed action plan from the previous cycle is included.</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All proposed actions from the prior year</w:t>
            </w:r>
            <w:r w:rsidR="00896783">
              <w:rPr>
                <w:rFonts w:ascii="Garamond" w:eastAsia="Garamond" w:hAnsi="Garamond" w:cs="Garamond"/>
                <w:sz w:val="18"/>
                <w:szCs w:val="18"/>
              </w:rPr>
              <w:t>’</w:t>
            </w:r>
            <w:r>
              <w:rPr>
                <w:rFonts w:ascii="Garamond" w:eastAsia="Garamond" w:hAnsi="Garamond" w:cs="Garamond"/>
                <w:sz w:val="18"/>
                <w:szCs w:val="18"/>
              </w:rPr>
              <w:t>s action plan are addressed, but details about implementation are insufficient.</w:t>
            </w:r>
          </w:p>
          <w:p w:rsidR="00DA56D4" w:rsidRPr="00041B35" w:rsidRDefault="00F1722A" w:rsidP="00041B35">
            <w:pPr>
              <w:pStyle w:val="ListParagraph"/>
              <w:numPr>
                <w:ilvl w:val="0"/>
                <w:numId w:val="6"/>
              </w:numPr>
              <w:rPr>
                <w:sz w:val="18"/>
                <w:szCs w:val="18"/>
              </w:rPr>
            </w:pPr>
            <w:r w:rsidRPr="00041B35">
              <w:rPr>
                <w:rFonts w:ascii="Garamond" w:eastAsia="Garamond" w:hAnsi="Garamond" w:cs="Garamond"/>
                <w:sz w:val="18"/>
                <w:szCs w:val="18"/>
              </w:rPr>
              <w:t>If actions proposed during the previous cycle</w:t>
            </w:r>
            <w:r w:rsidR="002963D8" w:rsidRPr="00041B35">
              <w:rPr>
                <w:rFonts w:ascii="Garamond" w:eastAsia="Garamond" w:hAnsi="Garamond" w:cs="Garamond"/>
                <w:sz w:val="18"/>
                <w:szCs w:val="18"/>
              </w:rPr>
              <w:t xml:space="preserve"> were not implemented, no </w:t>
            </w:r>
            <w:r w:rsidRPr="00041B35">
              <w:rPr>
                <w:rFonts w:ascii="Garamond" w:eastAsia="Garamond" w:hAnsi="Garamond" w:cs="Garamond"/>
                <w:sz w:val="18"/>
                <w:szCs w:val="18"/>
              </w:rPr>
              <w:t>reasonable justification is given.</w:t>
            </w:r>
          </w:p>
        </w:tc>
        <w:tc>
          <w:tcPr>
            <w:tcW w:w="5490" w:type="dxa"/>
            <w:gridSpan w:val="2"/>
            <w:shd w:val="clear" w:color="auto" w:fill="FFFFFF"/>
          </w:tcPr>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All proposed actions from the prior year</w:t>
            </w:r>
            <w:r w:rsidR="00896783">
              <w:rPr>
                <w:rFonts w:ascii="Garamond" w:eastAsia="Garamond" w:hAnsi="Garamond" w:cs="Garamond"/>
                <w:sz w:val="18"/>
                <w:szCs w:val="18"/>
              </w:rPr>
              <w:t>’</w:t>
            </w:r>
            <w:r>
              <w:rPr>
                <w:rFonts w:ascii="Garamond" w:eastAsia="Garamond" w:hAnsi="Garamond" w:cs="Garamond"/>
                <w:sz w:val="18"/>
                <w:szCs w:val="18"/>
              </w:rPr>
              <w:t>s action plan were specifically addressed, including who implemented them, when they were implemented, and the outcome of the implementation.</w:t>
            </w:r>
          </w:p>
          <w:p w:rsidR="0001610C" w:rsidRPr="0001610C" w:rsidRDefault="00F1722A" w:rsidP="00041B35">
            <w:pPr>
              <w:pStyle w:val="ListParagraph"/>
              <w:numPr>
                <w:ilvl w:val="0"/>
                <w:numId w:val="6"/>
              </w:numPr>
              <w:rPr>
                <w:rFonts w:ascii="Garamond" w:eastAsia="Garamond" w:hAnsi="Garamond" w:cs="Garamond"/>
                <w:sz w:val="18"/>
                <w:szCs w:val="18"/>
              </w:rPr>
            </w:pPr>
            <w:r>
              <w:rPr>
                <w:rFonts w:ascii="Garamond" w:eastAsia="Garamond" w:hAnsi="Garamond" w:cs="Garamond"/>
                <w:sz w:val="18"/>
                <w:szCs w:val="18"/>
              </w:rPr>
              <w:t>If actions proposed during the previous cycle were not implemented, reasonable justification is given.</w:t>
            </w:r>
          </w:p>
          <w:p w:rsidR="0001610C" w:rsidRPr="0001610C" w:rsidRDefault="00F1722A" w:rsidP="00041B35">
            <w:pPr>
              <w:pStyle w:val="ListParagraph"/>
              <w:numPr>
                <w:ilvl w:val="0"/>
                <w:numId w:val="6"/>
              </w:numPr>
              <w:rPr>
                <w:rFonts w:ascii="Garamond" w:eastAsia="Garamond" w:hAnsi="Garamond" w:cs="Garamond"/>
                <w:sz w:val="18"/>
                <w:szCs w:val="18"/>
              </w:rPr>
            </w:pPr>
            <w:r>
              <w:rPr>
                <w:rFonts w:ascii="Garamond" w:eastAsia="Garamond" w:hAnsi="Garamond" w:cs="Garamond"/>
                <w:sz w:val="18"/>
                <w:szCs w:val="18"/>
              </w:rPr>
              <w:t>If actions taken during the current cycle were not proposed during the</w:t>
            </w:r>
            <w:r w:rsidR="0001610C">
              <w:rPr>
                <w:rFonts w:ascii="Garamond" w:eastAsia="Garamond" w:hAnsi="Garamond" w:cs="Garamond"/>
                <w:sz w:val="18"/>
                <w:szCs w:val="18"/>
              </w:rPr>
              <w:t xml:space="preserve"> </w:t>
            </w:r>
            <w:r>
              <w:rPr>
                <w:rFonts w:ascii="Garamond" w:eastAsia="Garamond" w:hAnsi="Garamond" w:cs="Garamond"/>
                <w:sz w:val="18"/>
                <w:szCs w:val="18"/>
              </w:rPr>
              <w:t>previous cycle, they are reasonably justified through external evidence.</w:t>
            </w:r>
          </w:p>
          <w:p w:rsidR="00DA56D4" w:rsidRDefault="00F1722A">
            <w:pPr>
              <w:numPr>
                <w:ilvl w:val="0"/>
                <w:numId w:val="5"/>
              </w:numPr>
              <w:ind w:left="144" w:hanging="144"/>
              <w:rPr>
                <w:rFonts w:ascii="Garamond" w:eastAsia="Garamond" w:hAnsi="Garamond" w:cs="Garamond"/>
                <w:sz w:val="18"/>
                <w:szCs w:val="18"/>
              </w:rPr>
            </w:pPr>
            <w:r>
              <w:rPr>
                <w:rFonts w:ascii="Garamond" w:eastAsia="Garamond" w:hAnsi="Garamond" w:cs="Garamond"/>
                <w:sz w:val="18"/>
                <w:szCs w:val="18"/>
              </w:rPr>
              <w:t>The report reflects with sufficient depth on the implementation of proposed actions and the data returned from them during the assessment cycle.</w:t>
            </w:r>
          </w:p>
        </w:tc>
        <w:tc>
          <w:tcPr>
            <w:tcW w:w="3155" w:type="dxa"/>
            <w:shd w:val="clear" w:color="auto" w:fill="FFFFFF"/>
          </w:tcPr>
          <w:p w:rsidR="00DA56D4" w:rsidRDefault="00F1722A">
            <w:pPr>
              <w:numPr>
                <w:ilvl w:val="0"/>
                <w:numId w:val="5"/>
              </w:numPr>
              <w:ind w:left="144" w:hanging="144"/>
            </w:pPr>
            <w:r>
              <w:rPr>
                <w:rFonts w:ascii="Garamond" w:eastAsia="Garamond" w:hAnsi="Garamond" w:cs="Garamond"/>
                <w:sz w:val="18"/>
                <w:szCs w:val="18"/>
              </w:rPr>
              <w:t>Additional documentation is provided, showing the implementation of proposed actions (e.g., course syllabi, meeting minutes, curriculum change forms, etc.).</w:t>
            </w:r>
          </w:p>
        </w:tc>
      </w:tr>
      <w:tr w:rsidR="002963D8" w:rsidRPr="00174F64" w:rsidTr="00C04FC8">
        <w:tc>
          <w:tcPr>
            <w:tcW w:w="15120" w:type="dxa"/>
            <w:gridSpan w:val="5"/>
            <w:shd w:val="clear" w:color="auto" w:fill="D9D9D9"/>
            <w:vAlign w:val="center"/>
          </w:tcPr>
          <w:p w:rsidR="005F2E09" w:rsidRDefault="00D47C45" w:rsidP="00D47C45">
            <w:pPr>
              <w:contextualSpacing w:val="0"/>
              <w:rPr>
                <w:rFonts w:ascii="Garamond" w:eastAsia="Garamond" w:hAnsi="Garamond" w:cs="Garamond"/>
                <w:b/>
                <w:sz w:val="20"/>
                <w:szCs w:val="20"/>
              </w:rPr>
            </w:pPr>
            <w:r w:rsidRPr="00174F64">
              <w:rPr>
                <w:rFonts w:ascii="Garamond" w:eastAsia="Garamond" w:hAnsi="Garamond" w:cs="Garamond"/>
                <w:b/>
                <w:sz w:val="20"/>
                <w:szCs w:val="20"/>
              </w:rPr>
              <w:t>G. ACTION PLAN II:</w:t>
            </w:r>
            <w:r w:rsidR="00F1722A" w:rsidRPr="00174F64">
              <w:rPr>
                <w:rFonts w:ascii="Garamond" w:eastAsia="Garamond" w:hAnsi="Garamond" w:cs="Garamond"/>
                <w:b/>
                <w:sz w:val="20"/>
                <w:szCs w:val="20"/>
              </w:rPr>
              <w:t xml:space="preserve"> U</w:t>
            </w:r>
            <w:r w:rsidRPr="00174F64">
              <w:rPr>
                <w:rFonts w:ascii="Garamond" w:eastAsia="Garamond" w:hAnsi="Garamond" w:cs="Garamond"/>
                <w:b/>
                <w:sz w:val="20"/>
                <w:szCs w:val="20"/>
              </w:rPr>
              <w:t>SE OF ASSESSMENT RESULTS FOR PROGRAM IMPROVEMENT</w:t>
            </w:r>
          </w:p>
          <w:p w:rsidR="00DA56D4" w:rsidRPr="005F2E09" w:rsidRDefault="00F1722A" w:rsidP="00D47C45">
            <w:pPr>
              <w:contextualSpacing w:val="0"/>
              <w:rPr>
                <w:rFonts w:ascii="Garamond" w:eastAsia="Garamond" w:hAnsi="Garamond" w:cs="Garamond"/>
                <w:b/>
                <w:sz w:val="20"/>
                <w:szCs w:val="20"/>
              </w:rPr>
            </w:pPr>
            <w:r w:rsidRPr="005F2E09">
              <w:rPr>
                <w:rFonts w:ascii="Garamond" w:eastAsia="Garamond" w:hAnsi="Garamond" w:cs="Garamond"/>
                <w:b/>
                <w:sz w:val="18"/>
                <w:szCs w:val="18"/>
              </w:rPr>
              <w:t>Strategies pl</w:t>
            </w:r>
            <w:r w:rsidR="002963D8" w:rsidRPr="005F2E09">
              <w:rPr>
                <w:rFonts w:ascii="Garamond" w:eastAsia="Garamond" w:hAnsi="Garamond" w:cs="Garamond"/>
                <w:b/>
                <w:sz w:val="18"/>
                <w:szCs w:val="18"/>
              </w:rPr>
              <w:t>anned for program improvement; a</w:t>
            </w:r>
            <w:r w:rsidRPr="005F2E09">
              <w:rPr>
                <w:rFonts w:ascii="Garamond" w:eastAsia="Garamond" w:hAnsi="Garamond" w:cs="Garamond"/>
                <w:b/>
                <w:sz w:val="18"/>
                <w:szCs w:val="18"/>
              </w:rPr>
              <w:t>ctions designed to improve</w:t>
            </w:r>
            <w:r w:rsidR="00F908C0">
              <w:rPr>
                <w:rFonts w:ascii="Garamond" w:eastAsia="Garamond" w:hAnsi="Garamond" w:cs="Garamond"/>
                <w:b/>
                <w:sz w:val="18"/>
                <w:szCs w:val="18"/>
              </w:rPr>
              <w:t xml:space="preserve"> instruction &amp;</w:t>
            </w:r>
            <w:r w:rsidR="002963D8" w:rsidRPr="005F2E09">
              <w:rPr>
                <w:rFonts w:ascii="Garamond" w:eastAsia="Garamond" w:hAnsi="Garamond" w:cs="Garamond"/>
                <w:b/>
                <w:sz w:val="18"/>
                <w:szCs w:val="18"/>
              </w:rPr>
              <w:t xml:space="preserve"> curriculum; r</w:t>
            </w:r>
            <w:r w:rsidRPr="005F2E09">
              <w:rPr>
                <w:rFonts w:ascii="Garamond" w:eastAsia="Garamond" w:hAnsi="Garamond" w:cs="Garamond"/>
                <w:b/>
                <w:sz w:val="18"/>
                <w:szCs w:val="18"/>
              </w:rPr>
              <w:t xml:space="preserve">ationale </w:t>
            </w:r>
            <w:r w:rsidR="00D47C45" w:rsidRPr="005F2E09">
              <w:rPr>
                <w:rFonts w:ascii="Garamond" w:eastAsia="Garamond" w:hAnsi="Garamond" w:cs="Garamond"/>
                <w:b/>
                <w:sz w:val="18"/>
                <w:szCs w:val="18"/>
              </w:rPr>
              <w:t>for action is</w:t>
            </w:r>
            <w:r w:rsidR="005F2E09">
              <w:rPr>
                <w:rFonts w:ascii="Garamond" w:eastAsia="Garamond" w:hAnsi="Garamond" w:cs="Garamond"/>
                <w:b/>
                <w:sz w:val="18"/>
                <w:szCs w:val="18"/>
              </w:rPr>
              <w:t xml:space="preserve"> based on data &amp;</w:t>
            </w:r>
            <w:r w:rsidRPr="005F2E09">
              <w:rPr>
                <w:rFonts w:ascii="Garamond" w:eastAsia="Garamond" w:hAnsi="Garamond" w:cs="Garamond"/>
                <w:b/>
                <w:sz w:val="18"/>
                <w:szCs w:val="18"/>
              </w:rPr>
              <w:t xml:space="preserve"> analysis of results</w:t>
            </w:r>
          </w:p>
        </w:tc>
      </w:tr>
      <w:tr w:rsidR="00326A3C" w:rsidTr="005435F4">
        <w:tc>
          <w:tcPr>
            <w:tcW w:w="3235" w:type="dxa"/>
          </w:tcPr>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No actions proposed for the next cycle.</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Proposed actions are not based on the data captured through the assessment process.</w:t>
            </w:r>
          </w:p>
          <w:p w:rsidR="00DA56D4" w:rsidRDefault="00F1722A">
            <w:pPr>
              <w:numPr>
                <w:ilvl w:val="0"/>
                <w:numId w:val="5"/>
              </w:numPr>
              <w:ind w:left="144" w:hanging="144"/>
            </w:pPr>
            <w:r>
              <w:rPr>
                <w:rFonts w:ascii="Garamond" w:eastAsia="Garamond" w:hAnsi="Garamond" w:cs="Garamond"/>
                <w:sz w:val="18"/>
                <w:szCs w:val="18"/>
              </w:rPr>
              <w:t>Proposed actions are unrelated to the improvement of the educational program, and therefore student learning.</w:t>
            </w:r>
          </w:p>
        </w:tc>
        <w:tc>
          <w:tcPr>
            <w:tcW w:w="3240" w:type="dxa"/>
          </w:tcPr>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The connection between proposed actions, results/discussion, and/or SLOs is not clear.</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Proposed actions are too broad or vague to guide the improvement of the educational program and student learning.</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Proposed actions do not demonstrate evidence of input from more than one person.</w:t>
            </w:r>
          </w:p>
          <w:p w:rsidR="00DA56D4" w:rsidRDefault="00F1722A">
            <w:pPr>
              <w:numPr>
                <w:ilvl w:val="0"/>
                <w:numId w:val="5"/>
              </w:numPr>
              <w:ind w:left="144" w:hanging="144"/>
            </w:pPr>
            <w:r>
              <w:rPr>
                <w:rFonts w:ascii="Garamond" w:eastAsia="Garamond" w:hAnsi="Garamond" w:cs="Garamond"/>
                <w:sz w:val="18"/>
                <w:szCs w:val="18"/>
              </w:rPr>
              <w:t>Proposed actions pertain only to assessment plan changes (process/measure only).</w:t>
            </w:r>
          </w:p>
        </w:tc>
        <w:tc>
          <w:tcPr>
            <w:tcW w:w="5490" w:type="dxa"/>
            <w:gridSpan w:val="2"/>
          </w:tcPr>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Proposed actions are directly connected to the SLOs.</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Proposed actions are data-driven, directly relate to the results/discussion.</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Proposed actions focus on the improvement of the educational program and student learning. If modifications are made to th</w:t>
            </w:r>
            <w:r w:rsidR="002963D8">
              <w:rPr>
                <w:rFonts w:ascii="Garamond" w:eastAsia="Garamond" w:hAnsi="Garamond" w:cs="Garamond"/>
                <w:sz w:val="18"/>
                <w:szCs w:val="18"/>
              </w:rPr>
              <w:t xml:space="preserve">e assessment process, they are </w:t>
            </w:r>
            <w:r>
              <w:rPr>
                <w:rFonts w:ascii="Garamond" w:eastAsia="Garamond" w:hAnsi="Garamond" w:cs="Garamond"/>
                <w:sz w:val="18"/>
                <w:szCs w:val="18"/>
              </w:rPr>
              <w:t>data-driven.</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Proposed actions contain a process for evaluating their effectiveness.</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Proposed actions demonstrate evidence of input from multiple internal stakeholders.</w:t>
            </w:r>
          </w:p>
          <w:p w:rsidR="0001610C" w:rsidRPr="0001610C" w:rsidRDefault="00F1722A">
            <w:pPr>
              <w:numPr>
                <w:ilvl w:val="0"/>
                <w:numId w:val="5"/>
              </w:numPr>
              <w:ind w:left="144" w:hanging="144"/>
              <w:rPr>
                <w:rFonts w:ascii="Garamond" w:hAnsi="Garamond"/>
                <w:sz w:val="18"/>
              </w:rPr>
            </w:pPr>
            <w:r>
              <w:rPr>
                <w:rFonts w:ascii="Garamond" w:eastAsia="Garamond" w:hAnsi="Garamond" w:cs="Garamond"/>
                <w:sz w:val="18"/>
                <w:szCs w:val="18"/>
              </w:rPr>
              <w:t>Carryover actions from the previous cycle are noted.</w:t>
            </w:r>
          </w:p>
          <w:p w:rsidR="00DA56D4" w:rsidRDefault="00F1722A">
            <w:pPr>
              <w:numPr>
                <w:ilvl w:val="0"/>
                <w:numId w:val="5"/>
              </w:numPr>
              <w:ind w:left="144" w:hanging="144"/>
              <w:rPr>
                <w:rFonts w:ascii="Garamond" w:eastAsia="Garamond" w:hAnsi="Garamond" w:cs="Garamond"/>
                <w:sz w:val="18"/>
                <w:szCs w:val="18"/>
              </w:rPr>
            </w:pPr>
            <w:r>
              <w:rPr>
                <w:rFonts w:ascii="Garamond" w:eastAsia="Garamond" w:hAnsi="Garamond" w:cs="Garamond"/>
                <w:sz w:val="18"/>
                <w:szCs w:val="18"/>
              </w:rPr>
              <w:t>If a SLO is not addressed by any proposed actions, justification is given for maintenance of ongoing curriculum and instruction.</w:t>
            </w:r>
          </w:p>
        </w:tc>
        <w:tc>
          <w:tcPr>
            <w:tcW w:w="3155" w:type="dxa"/>
          </w:tcPr>
          <w:p w:rsidR="00DA56D4" w:rsidRDefault="00F1722A">
            <w:pPr>
              <w:numPr>
                <w:ilvl w:val="0"/>
                <w:numId w:val="5"/>
              </w:numPr>
              <w:ind w:left="144" w:hanging="144"/>
            </w:pPr>
            <w:r>
              <w:rPr>
                <w:rFonts w:ascii="Garamond" w:eastAsia="Garamond" w:hAnsi="Garamond" w:cs="Garamond"/>
                <w:sz w:val="18"/>
                <w:szCs w:val="18"/>
              </w:rPr>
              <w:t>Proposed actions are specifically detailed, including who will be responsible for implementation, approximate dates of implementation, and notes about where in the curriculum and in what specific classes they will occur.</w:t>
            </w:r>
          </w:p>
        </w:tc>
      </w:tr>
    </w:tbl>
    <w:p w:rsidR="00DA56D4" w:rsidRPr="00D35F5F" w:rsidRDefault="00DA56D4" w:rsidP="00E101D5">
      <w:pPr>
        <w:spacing w:line="240" w:lineRule="auto"/>
        <w:rPr>
          <w:rFonts w:ascii="Garamond" w:eastAsia="Garamond" w:hAnsi="Garamond" w:cs="Garamond"/>
          <w:sz w:val="2"/>
          <w:szCs w:val="2"/>
        </w:rPr>
      </w:pPr>
    </w:p>
    <w:sectPr w:rsidR="00DA56D4" w:rsidRPr="00D35F5F" w:rsidSect="009A59D2">
      <w:headerReference w:type="default" r:id="rId8"/>
      <w:footerReference w:type="default" r:id="rId9"/>
      <w:headerReference w:type="first" r:id="rId10"/>
      <w:pgSz w:w="15840" w:h="12240" w:orient="landscape" w:code="1"/>
      <w:pgMar w:top="360" w:right="360" w:bottom="360" w:left="360" w:header="432" w:footer="14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D7D" w:rsidRDefault="00E26D7D">
      <w:pPr>
        <w:spacing w:line="240" w:lineRule="auto"/>
      </w:pPr>
      <w:r>
        <w:separator/>
      </w:r>
    </w:p>
  </w:endnote>
  <w:endnote w:type="continuationSeparator" w:id="0">
    <w:p w:rsidR="00E26D7D" w:rsidRDefault="00E26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D8" w:rsidRPr="00A32BD8" w:rsidRDefault="00A32BD8" w:rsidP="00A32BD8">
    <w:pPr>
      <w:pStyle w:val="Footer"/>
      <w:pBdr>
        <w:top w:val="single" w:sz="4" w:space="1" w:color="auto"/>
      </w:pBdr>
      <w:jc w:val="center"/>
      <w:rPr>
        <w:rFonts w:ascii="Garamond" w:hAnsi="Garamond"/>
        <w:i/>
        <w:sz w:val="16"/>
        <w:szCs w:val="16"/>
      </w:rPr>
    </w:pPr>
    <w:r w:rsidRPr="00A32BD8">
      <w:rPr>
        <w:rFonts w:ascii="Garamond" w:hAnsi="Garamond"/>
        <w:i/>
        <w:sz w:val="16"/>
        <w:szCs w:val="16"/>
      </w:rPr>
      <w:t xml:space="preserve">Academic Program Assessment Rubric — </w:t>
    </w:r>
    <w:r w:rsidRPr="00A32BD8">
      <w:rPr>
        <w:rFonts w:ascii="Garamond" w:hAnsi="Garamond"/>
        <w:i/>
        <w:sz w:val="16"/>
        <w:szCs w:val="16"/>
      </w:rPr>
      <w:fldChar w:fldCharType="begin"/>
    </w:r>
    <w:r w:rsidRPr="00A32BD8">
      <w:rPr>
        <w:rFonts w:ascii="Garamond" w:hAnsi="Garamond"/>
        <w:i/>
        <w:sz w:val="16"/>
        <w:szCs w:val="16"/>
      </w:rPr>
      <w:instrText xml:space="preserve"> PAGE   \* MERGEFORMAT </w:instrText>
    </w:r>
    <w:r w:rsidRPr="00A32BD8">
      <w:rPr>
        <w:rFonts w:ascii="Garamond" w:hAnsi="Garamond"/>
        <w:i/>
        <w:sz w:val="16"/>
        <w:szCs w:val="16"/>
      </w:rPr>
      <w:fldChar w:fldCharType="separate"/>
    </w:r>
    <w:r w:rsidR="00580722">
      <w:rPr>
        <w:rFonts w:ascii="Garamond" w:hAnsi="Garamond"/>
        <w:i/>
        <w:noProof/>
        <w:sz w:val="16"/>
        <w:szCs w:val="16"/>
      </w:rPr>
      <w:t>3</w:t>
    </w:r>
    <w:r w:rsidRPr="00A32BD8">
      <w:rPr>
        <w:rFonts w:ascii="Garamond" w:hAnsi="Garamond"/>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D7D" w:rsidRDefault="00E26D7D">
      <w:pPr>
        <w:spacing w:line="240" w:lineRule="auto"/>
      </w:pPr>
      <w:r>
        <w:separator/>
      </w:r>
    </w:p>
  </w:footnote>
  <w:footnote w:type="continuationSeparator" w:id="0">
    <w:p w:rsidR="00E26D7D" w:rsidRDefault="00E26D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10C" w:rsidRDefault="002963D8" w:rsidP="00A32BD8">
    <w:pPr>
      <w:pStyle w:val="Header"/>
      <w:pBdr>
        <w:top w:val="single" w:sz="4" w:space="1" w:color="auto"/>
        <w:left w:val="single" w:sz="4" w:space="4" w:color="auto"/>
        <w:bottom w:val="single" w:sz="4" w:space="1" w:color="auto"/>
        <w:right w:val="single" w:sz="4" w:space="4" w:color="auto"/>
      </w:pBdr>
      <w:shd w:val="clear" w:color="auto" w:fill="000000" w:themeFill="text1"/>
      <w:jc w:val="center"/>
      <w:rPr>
        <w:rFonts w:ascii="Garamond" w:hAnsi="Garamond"/>
        <w:b/>
        <w:smallCaps/>
        <w:color w:val="FFFFFF" w:themeColor="background1"/>
        <w:spacing w:val="60"/>
        <w:sz w:val="32"/>
        <w:szCs w:val="32"/>
      </w:rPr>
    </w:pPr>
    <w:r w:rsidRPr="004A1856">
      <w:rPr>
        <w:rFonts w:ascii="Garamond" w:hAnsi="Garamond"/>
        <w:b/>
        <w:smallCaps/>
        <w:color w:val="FFFFFF" w:themeColor="background1"/>
        <w:spacing w:val="60"/>
        <w:sz w:val="32"/>
        <w:szCs w:val="32"/>
      </w:rPr>
      <w:t>Georgia Southern University Academic Program Assessment Rubric</w:t>
    </w:r>
  </w:p>
  <w:p w:rsidR="002963D8" w:rsidRPr="00D35F5F" w:rsidRDefault="002963D8" w:rsidP="002963D8">
    <w:pPr>
      <w:pStyle w:val="Header"/>
      <w:rPr>
        <w:rFonts w:ascii="Garamond" w:hAnsi="Garamond"/>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10C" w:rsidRPr="0001610C" w:rsidRDefault="00F1722A" w:rsidP="00801AE8">
    <w:pPr>
      <w:spacing w:line="240" w:lineRule="auto"/>
      <w:jc w:val="center"/>
      <w:rPr>
        <w:rFonts w:ascii="Garamond" w:eastAsia="Garamond" w:hAnsi="Garamond" w:cs="Garamond"/>
        <w:b/>
        <w:smallCaps/>
        <w:color w:val="FFFFFF"/>
        <w:spacing w:val="160"/>
        <w:sz w:val="18"/>
        <w:szCs w:val="28"/>
      </w:rPr>
    </w:pPr>
    <w:r w:rsidRPr="00801AE8">
      <w:rPr>
        <w:rFonts w:ascii="Garamond" w:eastAsia="Garamond" w:hAnsi="Garamond" w:cs="Garamond"/>
        <w:b/>
        <w:smallCaps/>
        <w:color w:val="FFFFFF"/>
        <w:spacing w:val="160"/>
        <w:sz w:val="28"/>
        <w:szCs w:val="28"/>
        <w:highlight w:val="darkGray"/>
      </w:rPr>
      <w:t>Georgia Southern University Academic Program Assessment Rubric</w:t>
    </w:r>
  </w:p>
  <w:p w:rsidR="0001610C" w:rsidRPr="0001610C" w:rsidRDefault="0001610C">
    <w:pPr>
      <w:spacing w:line="240" w:lineRule="auto"/>
      <w:jc w:val="center"/>
      <w:rPr>
        <w:rFonts w:ascii="Garamond" w:eastAsia="Garamond" w:hAnsi="Garamond" w:cs="Garamond"/>
        <w:sz w:val="18"/>
        <w:szCs w:val="4"/>
      </w:rPr>
    </w:pPr>
  </w:p>
  <w:p w:rsidR="0001610C" w:rsidRPr="0001610C" w:rsidRDefault="0001610C">
    <w:pPr>
      <w:spacing w:line="240" w:lineRule="auto"/>
      <w:rPr>
        <w:rFonts w:ascii="Garamond" w:eastAsia="Arial Narrow" w:hAnsi="Garamond" w:cs="Arial Narrow"/>
        <w:sz w:val="18"/>
        <w:szCs w:val="8"/>
      </w:rPr>
    </w:pPr>
  </w:p>
  <w:p w:rsidR="00DA56D4" w:rsidRDefault="00DA56D4">
    <w:pPr>
      <w:spacing w:line="240" w:lineRule="auto"/>
      <w:rPr>
        <w:rFonts w:ascii="Arial Narrow" w:eastAsia="Arial Narrow" w:hAnsi="Arial Narrow" w:cs="Arial Narrow"/>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27114"/>
    <w:multiLevelType w:val="multilevel"/>
    <w:tmpl w:val="CA70BE22"/>
    <w:lvl w:ilvl="0">
      <w:start w:val="1"/>
      <w:numFmt w:val="bullet"/>
      <w:lvlText w:val="●"/>
      <w:lvlJc w:val="left"/>
      <w:pPr>
        <w:ind w:left="1008" w:firstLine="648"/>
      </w:pPr>
      <w:rPr>
        <w:rFonts w:ascii="Arial" w:eastAsia="Arial" w:hAnsi="Arial" w:cs="Arial"/>
        <w:sz w:val="16"/>
        <w:szCs w:val="16"/>
      </w:rPr>
    </w:lvl>
    <w:lvl w:ilvl="1">
      <w:start w:val="1"/>
      <w:numFmt w:val="bullet"/>
      <w:lvlText w:val="○"/>
      <w:lvlJc w:val="left"/>
      <w:pPr>
        <w:ind w:left="1728" w:firstLine="1368"/>
      </w:pPr>
      <w:rPr>
        <w:rFonts w:ascii="Arial" w:eastAsia="Arial" w:hAnsi="Arial" w:cs="Arial"/>
      </w:rPr>
    </w:lvl>
    <w:lvl w:ilvl="2">
      <w:start w:val="1"/>
      <w:numFmt w:val="bullet"/>
      <w:lvlText w:val="■"/>
      <w:lvlJc w:val="left"/>
      <w:pPr>
        <w:ind w:left="2448" w:firstLine="2088"/>
      </w:pPr>
      <w:rPr>
        <w:rFonts w:ascii="Arial" w:eastAsia="Arial" w:hAnsi="Arial" w:cs="Arial"/>
      </w:rPr>
    </w:lvl>
    <w:lvl w:ilvl="3">
      <w:start w:val="1"/>
      <w:numFmt w:val="bullet"/>
      <w:lvlText w:val="●"/>
      <w:lvlJc w:val="left"/>
      <w:pPr>
        <w:ind w:left="3168" w:firstLine="2808"/>
      </w:pPr>
      <w:rPr>
        <w:rFonts w:ascii="Arial" w:eastAsia="Arial" w:hAnsi="Arial" w:cs="Arial"/>
      </w:rPr>
    </w:lvl>
    <w:lvl w:ilvl="4">
      <w:start w:val="1"/>
      <w:numFmt w:val="bullet"/>
      <w:lvlText w:val="○"/>
      <w:lvlJc w:val="left"/>
      <w:pPr>
        <w:ind w:left="3888" w:firstLine="3528"/>
      </w:pPr>
      <w:rPr>
        <w:rFonts w:ascii="Arial" w:eastAsia="Arial" w:hAnsi="Arial" w:cs="Arial"/>
      </w:rPr>
    </w:lvl>
    <w:lvl w:ilvl="5">
      <w:start w:val="1"/>
      <w:numFmt w:val="bullet"/>
      <w:lvlText w:val="■"/>
      <w:lvlJc w:val="left"/>
      <w:pPr>
        <w:ind w:left="4608" w:firstLine="4248"/>
      </w:pPr>
      <w:rPr>
        <w:rFonts w:ascii="Arial" w:eastAsia="Arial" w:hAnsi="Arial" w:cs="Arial"/>
      </w:rPr>
    </w:lvl>
    <w:lvl w:ilvl="6">
      <w:start w:val="1"/>
      <w:numFmt w:val="bullet"/>
      <w:lvlText w:val="●"/>
      <w:lvlJc w:val="left"/>
      <w:pPr>
        <w:ind w:left="5328" w:firstLine="4968"/>
      </w:pPr>
      <w:rPr>
        <w:rFonts w:ascii="Arial" w:eastAsia="Arial" w:hAnsi="Arial" w:cs="Arial"/>
      </w:rPr>
    </w:lvl>
    <w:lvl w:ilvl="7">
      <w:start w:val="1"/>
      <w:numFmt w:val="bullet"/>
      <w:lvlText w:val="○"/>
      <w:lvlJc w:val="left"/>
      <w:pPr>
        <w:ind w:left="6048" w:firstLine="5688"/>
      </w:pPr>
      <w:rPr>
        <w:rFonts w:ascii="Arial" w:eastAsia="Arial" w:hAnsi="Arial" w:cs="Arial"/>
      </w:rPr>
    </w:lvl>
    <w:lvl w:ilvl="8">
      <w:start w:val="1"/>
      <w:numFmt w:val="bullet"/>
      <w:lvlText w:val="■"/>
      <w:lvlJc w:val="left"/>
      <w:pPr>
        <w:ind w:left="6768" w:firstLine="6408"/>
      </w:pPr>
      <w:rPr>
        <w:rFonts w:ascii="Arial" w:eastAsia="Arial" w:hAnsi="Arial" w:cs="Arial"/>
      </w:rPr>
    </w:lvl>
  </w:abstractNum>
  <w:abstractNum w:abstractNumId="1" w15:restartNumberingAfterBreak="0">
    <w:nsid w:val="2FB61CDA"/>
    <w:multiLevelType w:val="multilevel"/>
    <w:tmpl w:val="FB64B64E"/>
    <w:lvl w:ilvl="0">
      <w:start w:val="1"/>
      <w:numFmt w:val="bullet"/>
      <w:lvlText w:val="●"/>
      <w:lvlJc w:val="left"/>
      <w:pPr>
        <w:ind w:left="144" w:firstLine="0"/>
      </w:pPr>
      <w:rPr>
        <w:rFonts w:ascii="Arial" w:eastAsia="Arial" w:hAnsi="Arial" w:cs="Arial"/>
        <w:sz w:val="16"/>
        <w:szCs w:val="1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38B70AFE"/>
    <w:multiLevelType w:val="multilevel"/>
    <w:tmpl w:val="ED42BF82"/>
    <w:lvl w:ilvl="0">
      <w:start w:val="1"/>
      <w:numFmt w:val="bullet"/>
      <w:lvlText w:val="●"/>
      <w:lvlJc w:val="left"/>
      <w:pPr>
        <w:ind w:left="4590" w:firstLine="8820"/>
      </w:pPr>
      <w:rPr>
        <w:rFonts w:ascii="Arial" w:eastAsia="Arial" w:hAnsi="Arial" w:cs="Arial"/>
        <w:sz w:val="16"/>
        <w:szCs w:val="16"/>
      </w:rPr>
    </w:lvl>
    <w:lvl w:ilvl="1">
      <w:start w:val="1"/>
      <w:numFmt w:val="bullet"/>
      <w:lvlText w:val="○"/>
      <w:lvlJc w:val="left"/>
      <w:pPr>
        <w:ind w:left="5310" w:firstLine="10260"/>
      </w:pPr>
      <w:rPr>
        <w:rFonts w:ascii="Arial" w:eastAsia="Arial" w:hAnsi="Arial" w:cs="Arial"/>
      </w:rPr>
    </w:lvl>
    <w:lvl w:ilvl="2">
      <w:start w:val="1"/>
      <w:numFmt w:val="bullet"/>
      <w:lvlText w:val="■"/>
      <w:lvlJc w:val="left"/>
      <w:pPr>
        <w:ind w:left="6030" w:firstLine="11700"/>
      </w:pPr>
      <w:rPr>
        <w:rFonts w:ascii="Arial" w:eastAsia="Arial" w:hAnsi="Arial" w:cs="Arial"/>
      </w:rPr>
    </w:lvl>
    <w:lvl w:ilvl="3">
      <w:start w:val="1"/>
      <w:numFmt w:val="bullet"/>
      <w:lvlText w:val="●"/>
      <w:lvlJc w:val="left"/>
      <w:pPr>
        <w:ind w:left="6750" w:firstLine="13140"/>
      </w:pPr>
      <w:rPr>
        <w:rFonts w:ascii="Arial" w:eastAsia="Arial" w:hAnsi="Arial" w:cs="Arial"/>
      </w:rPr>
    </w:lvl>
    <w:lvl w:ilvl="4">
      <w:start w:val="1"/>
      <w:numFmt w:val="bullet"/>
      <w:lvlText w:val="○"/>
      <w:lvlJc w:val="left"/>
      <w:pPr>
        <w:ind w:left="7470" w:firstLine="14580"/>
      </w:pPr>
      <w:rPr>
        <w:rFonts w:ascii="Arial" w:eastAsia="Arial" w:hAnsi="Arial" w:cs="Arial"/>
      </w:rPr>
    </w:lvl>
    <w:lvl w:ilvl="5">
      <w:start w:val="1"/>
      <w:numFmt w:val="bullet"/>
      <w:lvlText w:val="■"/>
      <w:lvlJc w:val="left"/>
      <w:pPr>
        <w:ind w:left="8190" w:firstLine="16020"/>
      </w:pPr>
      <w:rPr>
        <w:rFonts w:ascii="Arial" w:eastAsia="Arial" w:hAnsi="Arial" w:cs="Arial"/>
      </w:rPr>
    </w:lvl>
    <w:lvl w:ilvl="6">
      <w:start w:val="1"/>
      <w:numFmt w:val="bullet"/>
      <w:lvlText w:val="●"/>
      <w:lvlJc w:val="left"/>
      <w:pPr>
        <w:ind w:left="8910" w:firstLine="17460"/>
      </w:pPr>
      <w:rPr>
        <w:rFonts w:ascii="Arial" w:eastAsia="Arial" w:hAnsi="Arial" w:cs="Arial"/>
      </w:rPr>
    </w:lvl>
    <w:lvl w:ilvl="7">
      <w:start w:val="1"/>
      <w:numFmt w:val="bullet"/>
      <w:lvlText w:val="○"/>
      <w:lvlJc w:val="left"/>
      <w:pPr>
        <w:ind w:left="9630" w:firstLine="18900"/>
      </w:pPr>
      <w:rPr>
        <w:rFonts w:ascii="Arial" w:eastAsia="Arial" w:hAnsi="Arial" w:cs="Arial"/>
      </w:rPr>
    </w:lvl>
    <w:lvl w:ilvl="8">
      <w:start w:val="1"/>
      <w:numFmt w:val="bullet"/>
      <w:lvlText w:val="■"/>
      <w:lvlJc w:val="left"/>
      <w:pPr>
        <w:ind w:left="10350" w:firstLine="20340"/>
      </w:pPr>
      <w:rPr>
        <w:rFonts w:ascii="Arial" w:eastAsia="Arial" w:hAnsi="Arial" w:cs="Arial"/>
      </w:rPr>
    </w:lvl>
  </w:abstractNum>
  <w:abstractNum w:abstractNumId="3" w15:restartNumberingAfterBreak="0">
    <w:nsid w:val="42E51F66"/>
    <w:multiLevelType w:val="multilevel"/>
    <w:tmpl w:val="AD18E840"/>
    <w:lvl w:ilvl="0">
      <w:start w:val="1"/>
      <w:numFmt w:val="bullet"/>
      <w:lvlText w:val="●"/>
      <w:lvlJc w:val="left"/>
      <w:pPr>
        <w:ind w:left="144" w:firstLine="0"/>
      </w:pPr>
      <w:rPr>
        <w:rFonts w:ascii="Arial" w:eastAsia="Arial" w:hAnsi="Arial" w:cs="Arial"/>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5305033"/>
    <w:multiLevelType w:val="hybridMultilevel"/>
    <w:tmpl w:val="EEAA8DCA"/>
    <w:lvl w:ilvl="0" w:tplc="6E644A40">
      <w:start w:val="1"/>
      <w:numFmt w:val="bullet"/>
      <w:lvlText w:val="o"/>
      <w:lvlJc w:val="left"/>
      <w:pPr>
        <w:ind w:left="288" w:hanging="144"/>
      </w:pPr>
      <w:rPr>
        <w:rFonts w:ascii="Courier New" w:hAnsi="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E3994"/>
    <w:multiLevelType w:val="multilevel"/>
    <w:tmpl w:val="2322501A"/>
    <w:lvl w:ilvl="0">
      <w:start w:val="1"/>
      <w:numFmt w:val="bullet"/>
      <w:lvlText w:val="o"/>
      <w:lvlJc w:val="left"/>
      <w:pPr>
        <w:ind w:left="864" w:firstLine="504"/>
      </w:pPr>
      <w:rPr>
        <w:rFonts w:ascii="Arial" w:eastAsia="Arial" w:hAnsi="Arial" w:cs="Arial"/>
        <w:sz w:val="16"/>
        <w:szCs w:val="16"/>
      </w:rPr>
    </w:lvl>
    <w:lvl w:ilvl="1">
      <w:start w:val="1"/>
      <w:numFmt w:val="bullet"/>
      <w:lvlText w:val="o"/>
      <w:lvlJc w:val="left"/>
      <w:pPr>
        <w:ind w:left="1584" w:firstLine="1224"/>
      </w:pPr>
      <w:rPr>
        <w:rFonts w:ascii="Arial" w:eastAsia="Arial" w:hAnsi="Arial" w:cs="Arial"/>
      </w:rPr>
    </w:lvl>
    <w:lvl w:ilvl="2">
      <w:start w:val="1"/>
      <w:numFmt w:val="bullet"/>
      <w:lvlText w:val="▪"/>
      <w:lvlJc w:val="left"/>
      <w:pPr>
        <w:ind w:left="2304" w:firstLine="1944"/>
      </w:pPr>
      <w:rPr>
        <w:rFonts w:ascii="Arial" w:eastAsia="Arial" w:hAnsi="Arial" w:cs="Arial"/>
      </w:rPr>
    </w:lvl>
    <w:lvl w:ilvl="3">
      <w:start w:val="1"/>
      <w:numFmt w:val="bullet"/>
      <w:lvlText w:val="●"/>
      <w:lvlJc w:val="left"/>
      <w:pPr>
        <w:ind w:left="3024" w:firstLine="2664"/>
      </w:pPr>
      <w:rPr>
        <w:rFonts w:ascii="Arial" w:eastAsia="Arial" w:hAnsi="Arial" w:cs="Arial"/>
      </w:rPr>
    </w:lvl>
    <w:lvl w:ilvl="4">
      <w:start w:val="1"/>
      <w:numFmt w:val="bullet"/>
      <w:lvlText w:val="o"/>
      <w:lvlJc w:val="left"/>
      <w:pPr>
        <w:ind w:left="3744" w:firstLine="3384"/>
      </w:pPr>
      <w:rPr>
        <w:rFonts w:ascii="Arial" w:eastAsia="Arial" w:hAnsi="Arial" w:cs="Arial"/>
      </w:rPr>
    </w:lvl>
    <w:lvl w:ilvl="5">
      <w:start w:val="1"/>
      <w:numFmt w:val="bullet"/>
      <w:lvlText w:val="▪"/>
      <w:lvlJc w:val="left"/>
      <w:pPr>
        <w:ind w:left="4464" w:firstLine="4104"/>
      </w:pPr>
      <w:rPr>
        <w:rFonts w:ascii="Arial" w:eastAsia="Arial" w:hAnsi="Arial" w:cs="Arial"/>
      </w:rPr>
    </w:lvl>
    <w:lvl w:ilvl="6">
      <w:start w:val="1"/>
      <w:numFmt w:val="bullet"/>
      <w:lvlText w:val="●"/>
      <w:lvlJc w:val="left"/>
      <w:pPr>
        <w:ind w:left="5184" w:firstLine="4824"/>
      </w:pPr>
      <w:rPr>
        <w:rFonts w:ascii="Arial" w:eastAsia="Arial" w:hAnsi="Arial" w:cs="Arial"/>
      </w:rPr>
    </w:lvl>
    <w:lvl w:ilvl="7">
      <w:start w:val="1"/>
      <w:numFmt w:val="bullet"/>
      <w:lvlText w:val="o"/>
      <w:lvlJc w:val="left"/>
      <w:pPr>
        <w:ind w:left="5904" w:firstLine="5544"/>
      </w:pPr>
      <w:rPr>
        <w:rFonts w:ascii="Arial" w:eastAsia="Arial" w:hAnsi="Arial" w:cs="Arial"/>
      </w:rPr>
    </w:lvl>
    <w:lvl w:ilvl="8">
      <w:start w:val="1"/>
      <w:numFmt w:val="bullet"/>
      <w:lvlText w:val="▪"/>
      <w:lvlJc w:val="left"/>
      <w:pPr>
        <w:ind w:left="6624" w:firstLine="6264"/>
      </w:pPr>
      <w:rPr>
        <w:rFonts w:ascii="Arial" w:eastAsia="Arial" w:hAnsi="Arial" w:cs="Arial"/>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D4"/>
    <w:rsid w:val="0001610C"/>
    <w:rsid w:val="00041B35"/>
    <w:rsid w:val="00117407"/>
    <w:rsid w:val="00161A71"/>
    <w:rsid w:val="00174F64"/>
    <w:rsid w:val="00184406"/>
    <w:rsid w:val="002456D5"/>
    <w:rsid w:val="002963D8"/>
    <w:rsid w:val="00326A3C"/>
    <w:rsid w:val="004A1856"/>
    <w:rsid w:val="004A276D"/>
    <w:rsid w:val="005435F4"/>
    <w:rsid w:val="00552BD7"/>
    <w:rsid w:val="00562932"/>
    <w:rsid w:val="00580722"/>
    <w:rsid w:val="005F2E09"/>
    <w:rsid w:val="00801AE8"/>
    <w:rsid w:val="00896783"/>
    <w:rsid w:val="008F5F7B"/>
    <w:rsid w:val="00940EDD"/>
    <w:rsid w:val="00981D65"/>
    <w:rsid w:val="009A59D2"/>
    <w:rsid w:val="00A32BD8"/>
    <w:rsid w:val="00BD520F"/>
    <w:rsid w:val="00C04FC8"/>
    <w:rsid w:val="00C27EFD"/>
    <w:rsid w:val="00CD3CF8"/>
    <w:rsid w:val="00CE4C85"/>
    <w:rsid w:val="00D35F5F"/>
    <w:rsid w:val="00D47C45"/>
    <w:rsid w:val="00DA56D4"/>
    <w:rsid w:val="00E101D5"/>
    <w:rsid w:val="00E26D7D"/>
    <w:rsid w:val="00E90535"/>
    <w:rsid w:val="00F1722A"/>
    <w:rsid w:val="00F86424"/>
    <w:rsid w:val="00F9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7CF57A-29D4-4B91-8A11-AC8D17FD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spacing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01AE8"/>
    <w:pPr>
      <w:tabs>
        <w:tab w:val="center" w:pos="4680"/>
        <w:tab w:val="right" w:pos="9360"/>
      </w:tabs>
      <w:spacing w:line="240" w:lineRule="auto"/>
    </w:pPr>
  </w:style>
  <w:style w:type="character" w:customStyle="1" w:styleId="HeaderChar">
    <w:name w:val="Header Char"/>
    <w:basedOn w:val="DefaultParagraphFont"/>
    <w:link w:val="Header"/>
    <w:uiPriority w:val="99"/>
    <w:rsid w:val="00801AE8"/>
  </w:style>
  <w:style w:type="paragraph" w:styleId="Footer">
    <w:name w:val="footer"/>
    <w:basedOn w:val="Normal"/>
    <w:link w:val="FooterChar"/>
    <w:uiPriority w:val="99"/>
    <w:unhideWhenUsed/>
    <w:rsid w:val="00801AE8"/>
    <w:pPr>
      <w:tabs>
        <w:tab w:val="center" w:pos="4680"/>
        <w:tab w:val="right" w:pos="9360"/>
      </w:tabs>
      <w:spacing w:line="240" w:lineRule="auto"/>
    </w:pPr>
  </w:style>
  <w:style w:type="character" w:customStyle="1" w:styleId="FooterChar">
    <w:name w:val="Footer Char"/>
    <w:basedOn w:val="DefaultParagraphFont"/>
    <w:link w:val="Footer"/>
    <w:uiPriority w:val="99"/>
    <w:rsid w:val="00801AE8"/>
  </w:style>
  <w:style w:type="paragraph" w:styleId="ListParagraph">
    <w:name w:val="List Paragraph"/>
    <w:basedOn w:val="Normal"/>
    <w:uiPriority w:val="34"/>
    <w:qFormat/>
    <w:rsid w:val="00041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06832-B18D-42A6-8314-393B436F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14041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Pellegrino</dc:creator>
  <cp:lastModifiedBy>Delena Gatch</cp:lastModifiedBy>
  <cp:revision>9</cp:revision>
  <dcterms:created xsi:type="dcterms:W3CDTF">2017-05-10T13:49:00Z</dcterms:created>
  <dcterms:modified xsi:type="dcterms:W3CDTF">2017-05-11T17:25:00Z</dcterms:modified>
</cp:coreProperties>
</file>