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rPr/>
      </w:pPr>
      <w:bookmarkStart w:colFirst="0" w:colLast="0" w:name="_3kvubpnt3add" w:id="0"/>
      <w:bookmarkEnd w:id="0"/>
      <w:r w:rsidDel="00000000" w:rsidR="00000000" w:rsidRPr="00000000">
        <w:rPr>
          <w:rtl w:val="0"/>
        </w:rPr>
        <w:t xml:space="preserve">Timetable for Naming Successful Candidates in Recent Internal Search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Submitted by: Robert Costomiris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10/20/2017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Question(s):</w:t>
      </w:r>
    </w:p>
    <w:p w:rsidR="00000000" w:rsidDel="00000000" w:rsidP="00000000" w:rsidRDefault="00000000" w:rsidRPr="00000000">
      <w:pPr>
        <w:contextualSpacing w:val="0"/>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 After the provost and president have signed off on internal hiring decisions for the new consolidated Georgia Southern, which administrative units are involved and what steps remain before these decisions can be made public?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 Excluding the hiring freeze that was in place from early September to mid-October 2017, compared to the hiring process in previous years, to what extent has the length of time increased before hiring decisions are made public after the provost and president have signed off?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t xml:space="preserve">3) Are there any procedures currently in use to expedite the naming of personnel for academically critical positions (e.g., department chairs)?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Rationale: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t xml:space="preserve">Concern is rising that delays in completing the hiring process after the provost and president have signed off on recommendations will diminish our capacity to carry out our academic mission. For example, we are in the middle of the academic job hunting season and uncertainty in knowing who will be the chair of a department may unsettle talented junior faculty and give them incentive to go on the job market and accept positions elsewhere. Additionally, departments without established leadership may have to delay their own searches, which could result in smaller candidate pools of lesser quality. More transparency about what is happening in the hiring process after the provost and president have signed off is needed if faculty is to have confidence that the academic mission of the university remains a priority in the hiring process.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Response:</w:t>
      </w:r>
    </w:p>
    <w:p w:rsidR="00000000" w:rsidDel="00000000" w:rsidP="00000000" w:rsidRDefault="00000000" w:rsidRPr="00000000">
      <w:pPr>
        <w:contextualSpacing w:val="0"/>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