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rPr>
          <w:i w:val="1"/>
          <w:sz w:val="22"/>
          <w:szCs w:val="22"/>
        </w:rPr>
      </w:pPr>
      <w:r w:rsidDel="00000000" w:rsidR="00000000" w:rsidRPr="00000000">
        <w:rPr>
          <w:i w:val="1"/>
          <w:sz w:val="22"/>
          <w:szCs w:val="22"/>
          <w:rtl w:val="0"/>
        </w:rPr>
        <w:t xml:space="preserve">Approved by the Senate:</w:t>
      </w:r>
    </w:p>
    <w:p w:rsidR="00000000" w:rsidDel="00000000" w:rsidP="00000000" w:rsidRDefault="00000000" w:rsidRPr="00000000">
      <w:pPr>
        <w:contextualSpacing w:val="0"/>
        <w:rPr>
          <w:i w:val="1"/>
        </w:rPr>
      </w:pPr>
      <w:r w:rsidDel="00000000" w:rsidR="00000000" w:rsidRPr="00000000">
        <w:rPr>
          <w:i w:val="1"/>
          <w:rtl w:val="0"/>
        </w:rPr>
        <w:t xml:space="preserve">Not Approved by the Senate:</w:t>
      </w:r>
    </w:p>
    <w:p w:rsidR="00000000" w:rsidDel="00000000" w:rsidP="00000000" w:rsidRDefault="00000000" w:rsidRPr="00000000">
      <w:pPr>
        <w:contextualSpacing w:val="0"/>
        <w:rPr>
          <w:i w:val="1"/>
        </w:rPr>
      </w:pPr>
      <w:r w:rsidDel="00000000" w:rsidR="00000000" w:rsidRPr="00000000">
        <w:rPr>
          <w:i w:val="1"/>
          <w:rtl w:val="0"/>
        </w:rPr>
        <w:t xml:space="preserve">Approved by the President:</w:t>
      </w:r>
    </w:p>
    <w:p w:rsidR="00000000" w:rsidDel="00000000" w:rsidP="00000000" w:rsidRDefault="00000000" w:rsidRPr="00000000">
      <w:pPr>
        <w:contextualSpacing w:val="0"/>
        <w:rPr>
          <w:i w:val="1"/>
        </w:rPr>
      </w:pPr>
      <w:r w:rsidDel="00000000" w:rsidR="00000000" w:rsidRPr="00000000">
        <w:rPr>
          <w:i w:val="1"/>
          <w:rtl w:val="0"/>
        </w:rPr>
        <w:t xml:space="preserve">Not Approved by the President:</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alibri" w:cs="Calibri" w:eastAsia="Calibri" w:hAnsi="Calibri"/>
          <w:sz w:val="52"/>
          <w:szCs w:val="52"/>
          <w:rtl w:val="0"/>
        </w:rPr>
        <w:t xml:space="preserve">Revised Academic Standing Policy</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alibri" w:cs="Calibri" w:eastAsia="Calibri" w:hAnsi="Calibri"/>
          <w:sz w:val="24"/>
          <w:szCs w:val="24"/>
          <w:rtl w:val="0"/>
        </w:rPr>
        <w:t xml:space="preserve">Submitted by: Kelly Sullivan/Academic Standards Committee</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alibri" w:cs="Calibri" w:eastAsia="Calibri" w:hAnsi="Calibri"/>
          <w:sz w:val="24"/>
          <w:szCs w:val="24"/>
          <w:rtl w:val="0"/>
        </w:rPr>
        <w:t xml:space="preserve">ksullivan@georgiasouthern.edu</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alibri" w:cs="Calibri" w:eastAsia="Calibri" w:hAnsi="Calibri"/>
          <w:sz w:val="24"/>
          <w:szCs w:val="24"/>
          <w:rtl w:val="0"/>
        </w:rPr>
        <w:t xml:space="preserve">478-7902</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alibri" w:cs="Calibri" w:eastAsia="Calibri" w:hAnsi="Calibri"/>
          <w:sz w:val="24"/>
          <w:szCs w:val="24"/>
          <w:rtl w:val="0"/>
        </w:rPr>
        <w:t xml:space="preserve">11/14/2017</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color w:val="3f3f3f"/>
          <w:rtl w:val="0"/>
        </w:rPr>
        <w:t xml:space="preserve">Motion</w:t>
      </w:r>
      <w:r w:rsidDel="00000000" w:rsidR="00000000" w:rsidRPr="00000000">
        <w:rPr>
          <w:rFonts w:ascii="Calibri" w:cs="Calibri" w:eastAsia="Calibri" w:hAnsi="Calibri"/>
          <w:b w:val="1"/>
          <w:color w:val="3f3f3f"/>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Academic Standards Committee recommends that the University adopt a revised Academic Standing Policy. The SEC moves to accept the recommendation of the revised Academic Standing Policy.</w:t>
      </w:r>
    </w:p>
    <w:p w:rsidR="00000000" w:rsidDel="00000000" w:rsidP="00000000" w:rsidRDefault="00000000" w:rsidRPr="00000000">
      <w:pPr>
        <w:contextualSpacing w:val="0"/>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Rationale</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OWG 6-6 recommend that the new Institution: (1) create a task force to review the current Academic Standing Policies of Georgia Southern University and Armstrong State University in order to create a new Academic Standing Policy. (2) create a new Academic Standing Policy within an abbreviated timeframe to facilitate full implementation in Fall 2018. (3) develop an Academic Standing Policy that holds students accountable without imposing excessively punitive requirements for continued enrollment at the institution. (4) create an Academic Standing policy that rewards students who are making on-going progress, each term, towards good academic standing. The Academic Standards Committee along with our counterparts from Armstrong was charged with drafting these policies for the new Georgia Southern. The attached policy drafts have been co-created with our colleagues and passed by at least a majority voted by both voting bodies as policy drafts to move forward to our respective Faculty Senate.</w:t>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Response</w:t>
      </w:r>
      <w:r w:rsidDel="00000000" w:rsidR="00000000" w:rsidRPr="00000000">
        <w:rPr>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bookmarkStart w:colFirst="0" w:colLast="0" w:name="_oztqr9a5x17w" w:id="0"/>
      <w:bookmarkEnd w:id="0"/>
      <w:r w:rsidDel="00000000" w:rsidR="00000000" w:rsidRPr="00000000">
        <w:rPr>
          <w:rtl w:val="0"/>
        </w:rPr>
      </w:r>
    </w:p>
    <w:p w:rsidR="00000000" w:rsidDel="00000000" w:rsidP="00000000" w:rsidRDefault="00000000" w:rsidRPr="00000000">
      <w:pPr>
        <w:contextualSpacing w:val="0"/>
        <w:rPr/>
      </w:pPr>
      <w:bookmarkStart w:colFirst="0" w:colLast="0" w:name="_r2popb70l4lk" w:id="1"/>
      <w:bookmarkEnd w:id="1"/>
      <w:r w:rsidDel="00000000" w:rsidR="00000000" w:rsidRPr="00000000">
        <w:rPr>
          <w:rtl w:val="0"/>
        </w:rPr>
        <w:t xml:space="preserve">Attachments:  ​Academic​ ​Standing​ ​Policy  </w:t>
      </w:r>
    </w:p>
    <w:p w:rsidR="00000000" w:rsidDel="00000000" w:rsidP="00000000" w:rsidRDefault="00000000" w:rsidRPr="00000000">
      <w:pPr>
        <w:contextualSpacing w:val="0"/>
        <w:rPr/>
      </w:pPr>
      <w:bookmarkStart w:colFirst="0" w:colLast="0" w:name="_1fob9te" w:id="2"/>
      <w:bookmarkEnd w:id="2"/>
      <w:r w:rsidDel="00000000" w:rsidR="00000000" w:rsidRPr="00000000">
        <w:rPr>
          <w:rtl w:val="0"/>
        </w:rPr>
        <w:t xml:space="preserve">Academic Standing Policy-Visual (Effective Fall 2018)</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sz w:val="32"/>
      <w:szCs w:val="32"/>
    </w:rPr>
  </w:style>
  <w:style w:type="paragraph" w:styleId="Heading3">
    <w:name w:val="heading 3"/>
    <w:basedOn w:val="Normal"/>
    <w:next w:val="Normal"/>
    <w:pPr>
      <w:keepNext w:val="1"/>
      <w:keepLines w:val="1"/>
      <w:spacing w:after="80" w:before="320"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rPr>
  </w:style>
  <w:style w:type="paragraph" w:styleId="Heading6">
    <w:name w:val="heading 6"/>
    <w:basedOn w:val="Normal"/>
    <w:next w:val="Normal"/>
    <w:pPr>
      <w:keepNext w:val="1"/>
      <w:keepLines w:val="1"/>
      <w:spacing w:after="80" w:before="240" w:lineRule="auto"/>
      <w:contextualSpacing w:val="1"/>
    </w:pPr>
    <w:rPr>
      <w:i w:val="1"/>
      <w:color w:val="666666"/>
    </w:rPr>
  </w:style>
  <w:style w:type="paragraph" w:styleId="Title">
    <w:name w:val="Title"/>
    <w:basedOn w:val="Normal"/>
    <w:next w:val="Normal"/>
    <w:pPr>
      <w:keepNext w:val="1"/>
      <w:keepLines w:val="1"/>
      <w:spacing w:after="60" w:lineRule="auto"/>
      <w:contextualSpacing w:val="1"/>
    </w:pPr>
    <w:rPr>
      <w:sz w:val="52"/>
      <w:szCs w:val="52"/>
    </w:rPr>
  </w:style>
  <w:style w:type="paragraph" w:styleId="Subtitle">
    <w:name w:val="Subtitle"/>
    <w:basedOn w:val="Normal"/>
    <w:next w:val="Normal"/>
    <w:pPr>
      <w:keepNext w:val="1"/>
      <w:keepLines w:val="1"/>
      <w:spacing w:after="320" w:lineRule="auto"/>
      <w:contextualSpacing w:val="1"/>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