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rsidR="00000000" w:rsidDel="00000000" w:rsidRDefault="00000000" w:rsidP="00000000" w:rsidRPr="00000000">
      <w:pPr>
        <w:pStyle w:val="Title"/>
        <w:contextualSpacing w:val="0"/>
        <w:rPr>
          <w:i/>
          <w:sz w:val="22"/>
          <w:szCs w:val="22"/>
        </w:rPr>
      </w:pPr>
      <w:r w:rsidR="00000000" w:rsidDel="00000000" w:rsidRPr="00000000">
        <w:rPr>
          <w:rtl w:val="0"/>
          <w:i/>
          <w:sz w:val="22"/>
          <w:szCs w:val="22"/>
        </w:rPr>
        <w:t>Approved by the Senate:</w:t>
      </w:r>
    </w:p>
    <w:p w:rsidR="00000000" w:rsidDel="00000000" w:rsidRDefault="00000000" w:rsidP="00000000" w:rsidRPr="00000000">
      <w:pPr>
        <w:contextualSpacing w:val="0"/>
        <w:rPr>
          <w:i/>
        </w:rPr>
      </w:pPr>
      <w:r w:rsidR="00000000" w:rsidDel="00000000" w:rsidRPr="00000000">
        <w:rPr>
          <w:rtl w:val="0"/>
          <w:i/>
        </w:rPr>
        <w:t>Not Approved by the Senate:</w:t>
      </w:r>
    </w:p>
    <w:p w:rsidR="00000000" w:rsidDel="00000000" w:rsidRDefault="00000000" w:rsidP="00000000" w:rsidRPr="00000000">
      <w:pPr>
        <w:contextualSpacing w:val="0"/>
        <w:rPr>
          <w:i/>
        </w:rPr>
      </w:pPr>
      <w:r w:rsidR="00000000" w:rsidDel="00000000" w:rsidRPr="00000000">
        <w:rPr>
          <w:rtl w:val="0"/>
          <w:i/>
        </w:rPr>
        <w:t>Approved by the President:</w:t>
      </w:r>
    </w:p>
    <w:p w:rsidR="00000000" w:rsidDel="00000000" w:rsidRDefault="00000000" w:rsidP="00000000" w:rsidRPr="00000000">
      <w:pPr>
        <w:contextualSpacing w:val="0"/>
        <w:rPr>
          <w:i/>
        </w:rPr>
      </w:pPr>
      <w:r w:rsidR="00000000" w:rsidDel="00000000" w:rsidRPr="00000000">
        <w:rPr>
          <w:rtl w:val="0"/>
          <w:i/>
        </w:rPr>
        <w:t>Not Approved by the President:</w:t>
      </w:r>
    </w:p>
    <w:p w:rsidR="00000000" w:rsidDel="00000000" w:rsidRDefault="00000000" w:rsidP="00000000" w:rsidRPr="00000000">
      <w:pPr>
        <w:contextualSpacing w:val="0"/>
        <w:rPr>
          <w:i/>
        </w:rPr>
      </w:pPr>
      <w:r w:rsidR="00000000" w:rsidDel="00000000" w:rsidRPr="00000000">
        <w:rPr>
          <w:rtl w:val="0"/>
        </w:rPr>
      </w:r>
    </w:p>
    <w:p w:rsidR="00000000" w:rsidDel="00000000" w:rsidRDefault="00000000" w:rsidP="00000000" w:rsidRPr="00000000">
      <w:pPr>
        <w:contextualSpacing w:val="0"/>
        <w:rPr>
          <w:rFonts w:ascii="Calibri" w:cs="Calibri" w:eastAsia="Calibri" w:hAnsi="Calibri"/>
          <w:sz w:val="52"/>
          <w:szCs w:val="52"/>
        </w:rPr>
      </w:pPr>
      <w:bookmarkStart w:colFirst="0" w:colLast="0" w:name="_30j0zll" w:id="0"/>
      <w:bookmarkEnd w:id="0"/>
      <w:r w:rsidR="00000000" w:rsidDel="00000000" w:rsidRPr="00000000">
        <w:rPr>
          <w:rtl w:val="0"/>
          <w:rFonts w:ascii="Calibri" w:cs="Calibri" w:eastAsia="Calibri" w:hAnsi="Calibri"/>
          <w:sz w:val="52"/>
          <w:szCs w:val="52"/>
        </w:rPr>
        <w:t xml:space="preserve">New standing committee - Student Success Committee </w:t>
      </w:r>
    </w:p>
    <w:p w:rsidR="00000000" w:rsidDel="00000000" w:rsidRDefault="00000000" w:rsidP="00000000" w:rsidRPr="00000000">
      <w:pPr>
        <w:contextualSpacing w:val="0"/>
      </w:pPr>
      <w:r w:rsidR="00000000" w:rsidDel="00000000" w:rsidRPr="00000000">
        <w:rPr>
          <w:rtl w:val="0"/>
          <w:rFonts w:ascii="Calibri" w:cs="Calibri" w:eastAsia="Calibri" w:hAnsi="Calibri"/>
          <w:sz w:val="24"/>
          <w:szCs w:val="24"/>
        </w:rPr>
        <w:t>Submitted by: Meca Williams-Johnson/OWG</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Calibri" w:cs="Calibri" w:eastAsia="Calibri" w:hAnsi="Calibri"/>
          <w:sz w:val="24"/>
          <w:szCs w:val="24"/>
        </w:rPr>
        <w:t>mecawilliams@georgiasouthern.edu</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Calibri" w:cs="Calibri" w:eastAsia="Calibri" w:hAnsi="Calibri"/>
          <w:sz w:val="24"/>
          <w:szCs w:val="24"/>
        </w:rPr>
        <w:t>478-5252</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Calibri" w:cs="Calibri" w:eastAsia="Calibri" w:hAnsi="Calibri"/>
          <w:sz w:val="24"/>
          <w:szCs w:val="24"/>
        </w:rPr>
        <w:t xml:space="preserve">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Calibri" w:cs="Calibri" w:eastAsia="Calibri" w:hAnsi="Calibri"/>
          <w:sz w:val="24"/>
          <w:szCs w:val="24"/>
        </w:rPr>
        <w:t>11/3/2017</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Calibri" w:cs="Calibri" w:eastAsia="Calibri" w:hAnsi="Calibri"/>
          <w:sz w:val="24"/>
          <w:szCs w:val="24"/>
        </w:rPr>
        <w:t xml:space="preserve"> </w:t>
      </w:r>
      <w:r w:rsidR="00000000" w:rsidDel="00000000" w:rsidRPr="00000000">
        <w:rPr>
          <w:rtl w:val="0"/>
        </w:rPr>
      </w:r>
    </w:p>
    <w:p w:rsidR="00000000" w:rsidDel="00000000" w:rsidRDefault="00000000" w:rsidP="00000000" w:rsidRPr="00000000">
      <w:pPr>
        <w:contextualSpacing w:val="0"/>
        <w:rPr>
          <w:b/>
          <w:color w:val="3F3F3F"/>
        </w:rPr>
      </w:pPr>
      <w:r w:rsidR="00000000" w:rsidDel="00000000" w:rsidRPr="00000000">
        <w:rPr>
          <w:rtl w:val="0"/>
          <w:b/>
          <w:color w:val="3F3F3F"/>
        </w:rPr>
        <w:t xml:space="preserve">Motion: </w:t>
      </w:r>
    </w:p>
    <w:p w:rsidR="00000000" w:rsidDel="00000000" w:rsidRDefault="00000000" w:rsidP="00000000" w:rsidRPr="00000000">
      <w:pPr>
        <w:contextualSpacing w:val="0"/>
      </w:pPr>
      <w:r>
        <w:rPr>
          <w:noProof/>
        </w:rPr>
        <w:pict>
          <v:rect style="width:0.0pt;height:1.5pt" o:hr="t" o:hrstd="t" o:hralign="center" fillcolor="#A0A0A0" stroked="f"/>
        </w:pic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t xml:space="preserve">Faculty Governance OWG 5-1 recommends formulating a combined Student Success Committee as a standing committee and its inclusion into the new GSU bylaws. </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t>The SEC moves to add the Student Success Committee as a standing committee for the new Georgia Southern.  Duties and requirements of the Student Success Committee will be added to the new GSU bylaws.</w:t>
      </w:r>
    </w:p>
    <w:p w:rsidR="00000000" w:rsidDel="00000000" w:rsidRDefault="00000000" w:rsidP="00000000" w:rsidRPr="00000000">
      <w:pPr>
        <w:contextualSpacing w:val="0"/>
      </w:pPr>
      <w:r w:rsidR="00000000" w:rsidDel="00000000" w:rsidRPr="00000000">
        <w:rPr>
          <w:rtl w:val="0"/>
          <w:rFonts w:ascii="Calibri" w:cs="Calibri" w:eastAsia="Calibri" w:hAnsi="Calibri"/>
          <w:sz w:val="24"/>
          <w:szCs w:val="24"/>
        </w:rPr>
        <w:t xml:space="preserve"> </w:t>
      </w:r>
      <w:r w:rsidR="00000000" w:rsidDel="00000000" w:rsidRPr="00000000">
        <w:rPr>
          <w:rtl w:val="0"/>
        </w:rPr>
      </w:r>
    </w:p>
    <w:p w:rsidR="00000000" w:rsidDel="00000000" w:rsidRDefault="00000000" w:rsidP="00000000" w:rsidRPr="00000000">
      <w:pPr>
        <w:contextualSpacing w:val="0"/>
        <w:rPr>
          <w:rFonts w:ascii="Calibri" w:cs="Calibri" w:eastAsia="Calibri" w:hAnsi="Calibri"/>
          <w:sz w:val="24"/>
          <w:szCs w:val="24"/>
        </w:rPr>
      </w:pPr>
      <w:r w:rsidR="00000000" w:rsidDel="00000000" w:rsidRPr="00000000">
        <w:rPr>
          <w:rtl w:val="0"/>
          <w:b/>
          <w:sz w:val="24"/>
          <w:szCs w:val="24"/>
        </w:rPr>
        <w:t>Rationale</w:t>
      </w:r>
      <w:r w:rsidR="00000000" w:rsidDel="00000000" w:rsidRPr="00000000">
        <w:rPr>
          <w:rtl w:val="0"/>
          <w:rFonts w:ascii="Calibri" w:cs="Calibri" w:eastAsia="Calibri" w:hAnsi="Calibri"/>
          <w:sz w:val="24"/>
          <w:szCs w:val="24"/>
        </w:rPr>
        <w:t xml:space="preserve">: </w:t>
      </w:r>
    </w:p>
    <w:p w:rsidR="00000000" w:rsidDel="00000000" w:rsidRDefault="00000000" w:rsidP="00000000" w:rsidRPr="00000000">
      <w:pPr>
        <w:contextualSpacing w:val="0"/>
      </w:pPr>
      <w:r>
        <w:rPr>
          <w:noProof/>
        </w:rPr>
        <w:pict>
          <v:rect style="width:0.0pt;height:1.5pt" o:hr="t" o:hrstd="t" o:hralign="center" fillcolor="#A0A0A0" stroked="f"/>
        </w:pic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t xml:space="preserve">The OWG 5-1 Faculty Governance met to discuss merging bylaws for the new Georgia Southern University.  In an effort to foster an environment of collaboration and promote continual improvement in bridging relationships between campuses, members of the OWG negotiated the structure of faculty senate and revised the bylaws of the old GSU to reflect modifications.  All university senate committees were discussed to merge common committees and isolate those that were distinct to their respective campus.  The Student Success Committee (SSC) is a committee originally formed at the Armstrong campus to further support retention and graduation among its students. </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t>The SSC reviews the issues and trends in procedures on campus that effect student success. For example, the SSC committee at Armstrong reviewed how many fully online hours a first year student can enroll and progress through their program.  The committee found that first year students who enrolled in a majority of online courses had lower retention rates and were not successful.  Policy changes regarding online classes were then recommended and passed for all first year students. The SSC also contributes to work on academic benchmarks for degree programs to assist with predictive analytics in regards to student progression.</w:t>
      </w:r>
    </w:p>
    <w:p w:rsidR="00000000" w:rsidDel="00000000" w:rsidRDefault="00000000" w:rsidP="00000000" w:rsidRPr="00000000">
      <w:pPr>
        <w:contextualSpacing w:val="0"/>
      </w:pPr>
      <w:r w:rsidR="00000000" w:rsidDel="00000000" w:rsidRPr="00000000">
        <w:rPr>
          <w:rtl w:val="0"/>
        </w:rPr>
        <w:t xml:space="preserve"> </w:t>
      </w:r>
    </w:p>
    <w:p w:rsidR="00000000" w:rsidDel="00000000" w:rsidRDefault="00000000" w:rsidP="00000000" w:rsidRPr="00000000">
      <w:pPr>
        <w:contextualSpacing w:val="0"/>
      </w:pPr>
      <w:r w:rsidR="00000000" w:rsidDel="00000000" w:rsidRPr="00000000">
        <w:rPr>
          <w:rtl w:val="0"/>
        </w:rPr>
        <w:t xml:space="preserve">The OWG identifies the SSC as a distinct committee and different than the Academic Standards Committee (ASC). Currently, the ASC sets academic benchmarks for admittance, progression, suspension, graduation, etc. It also appeals for student reinstatement.  The OWG recommends maintaining both, the SSC and the ASC for the new Georgia Southern as they sometimes may work together on projects.  The Enrollment Management Committee may also be involved in projects from both SSC and ASC.  Decisions of the SSC and ASC may influence enrollment and trends toward graduation, the OWG recognizes the benefit of having faculty serve on these committees.  The description of the SSC committee would be added to the new GSU bylaws. </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t xml:space="preserve">Student Success Committee </w:t>
      </w:r>
    </w:p>
    <w:p>
      <w:pPr>
        <w:contextualSpacing w:val="0"/>
      </w:pPr>
      <w:r/>
    </w:p>
    <w:p w:rsidR="00000000" w:rsidDel="00000000" w:rsidRDefault="00000000" w:rsidP="00000000" w:rsidRPr="00000000">
      <w:pPr>
        <w:contextualSpacing w:val="0"/>
      </w:pPr>
      <w:r w:rsidR="00000000" w:rsidDel="00000000" w:rsidRPr="00000000">
        <w:rPr>
          <w:rtl w:val="0"/>
        </w:rPr>
        <w:t>The responsibilities of the STUDENT SUCCESS COMMITTEE shall be as follows:</w:t>
      </w:r>
    </w:p>
    <w:p>
      <w:pPr>
        <w:contextualSpacing w:val="0"/>
      </w:pPr>
      <w:r/>
    </w:p>
    <w:p>
      <w:pPr>
        <w:contextualSpacing w:val="0"/>
      </w:pPr>
      <w:r>
        <w:t>a. evaluate, recruitment, admission and retention goals;</w:t>
      </w:r>
    </w:p>
    <w:p>
      <w:pPr>
        <w:contextualSpacing w:val="0"/>
      </w:pPr>
      <w:r/>
    </w:p>
    <w:p w:rsidR="00000000" w:rsidDel="00000000" w:rsidRDefault="00000000" w:rsidP="00000000" w:rsidRPr="00000000">
      <w:pPr>
        <w:contextualSpacing w:val="0"/>
      </w:pPr>
      <w:r w:rsidR="00000000" w:rsidDel="00000000" w:rsidRPr="00000000">
        <w:rPr>
          <w:rtl w:val="0"/>
        </w:rPr>
        <w:t xml:space="preserve">b. review current and proposed policies related to recruitment, admission, and retention; </w:t>
      </w:r>
    </w:p>
    <w:p>
      <w:pPr>
        <w:contextualSpacing w:val="0"/>
      </w:pPr>
      <w:r/>
    </w:p>
    <w:p>
      <w:pPr>
        <w:contextualSpacing w:val="0"/>
      </w:pPr>
      <w:r>
        <w:t>c. identification of resource needs in those areas;</w:t>
      </w:r>
    </w:p>
    <w:p>
      <w:pPr>
        <w:contextualSpacing w:val="0"/>
      </w:pPr>
      <w:r/>
    </w:p>
    <w:p w:rsidR="00000000" w:rsidDel="00000000" w:rsidRDefault="00000000" w:rsidP="00000000" w:rsidRPr="00000000">
      <w:pPr>
        <w:contextualSpacing w:val="0"/>
      </w:pPr>
      <w:r w:rsidR="00000000" w:rsidDel="00000000" w:rsidRPr="00000000">
        <w:rPr>
          <w:rtl w:val="0"/>
        </w:rPr>
        <w:t xml:space="preserve">d. report to the Librarian, the Senate Executive Committee, and the Senate as described in </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t>Article IV, Section 3.</w:t>
      </w:r>
    </w:p>
    <w:p w:rsidR="00000000" w:rsidDel="00000000" w:rsidRDefault="00000000" w:rsidP="00000000" w:rsidRPr="00000000">
      <w:pPr>
        <w:contextualSpacing w:val="0"/>
      </w:pPr>
      <w:r w:rsidR="00000000" w:rsidDel="00000000" w:rsidRPr="00000000">
        <w:rPr>
          <w:rtl w:val="0"/>
        </w:rPr>
        <w:t xml:space="preserve">Voting membership shall be composed of one senator appointed by the Senate Executive Committee and faculty members elected by and representing each college and the library, one per unit. </w:t>
      </w:r>
    </w:p>
    <w:p w:rsidR="00000000" w:rsidDel="00000000" w:rsidRDefault="00000000" w:rsidP="00000000" w:rsidRPr="00000000">
      <w:pPr>
        <w:contextualSpacing w:val="0"/>
      </w:pPr>
      <w:r w:rsidR="00000000" w:rsidDel="00000000" w:rsidRPr="00000000">
        <w:rPr>
          <w:rtl w:val="0"/>
          <w:rFonts w:ascii="Calibri" w:cs="Calibri" w:eastAsia="Calibri" w:hAnsi="Calibri"/>
          <w:sz w:val="24"/>
          <w:szCs w:val="24"/>
        </w:rPr>
        <w:t xml:space="preserve"> </w:t>
      </w:r>
      <w:r w:rsidR="00000000" w:rsidDel="00000000" w:rsidRPr="00000000">
        <w:rPr>
          <w:rtl w:val="0"/>
        </w:rPr>
      </w:r>
    </w:p>
    <w:p w:rsidR="00000000" w:rsidDel="00000000" w:rsidRDefault="00000000" w:rsidP="00000000" w:rsidRPr="00000000">
      <w:pPr>
        <w:contextualSpacing w:val="0"/>
        <w:rPr>
          <w:sz w:val="24"/>
          <w:szCs w:val="24"/>
        </w:rPr>
      </w:pPr>
      <w:r w:rsidR="00000000" w:rsidDel="00000000" w:rsidRPr="00000000">
        <w:rPr>
          <w:rtl w:val="0"/>
          <w:b/>
          <w:sz w:val="24"/>
          <w:szCs w:val="24"/>
        </w:rPr>
        <w:t>Response</w:t>
      </w:r>
      <w:r w:rsidR="00000000" w:rsidDel="00000000" w:rsidRPr="00000000">
        <w:rPr>
          <w:rtl w:val="0"/>
          <w:sz w:val="24"/>
          <w:szCs w:val="24"/>
        </w:rPr>
        <w:t xml:space="preserve">: </w:t>
      </w:r>
    </w:p>
    <w:p w:rsidR="00000000" w:rsidDel="00000000" w:rsidRDefault="00000000" w:rsidP="00000000" w:rsidRPr="00000000">
      <w:pPr>
        <w:contextualSpacing w:val="0"/>
        <w:rPr>
          <w:rFonts w:ascii="Calibri" w:cs="Calibri" w:eastAsia="Calibri" w:hAnsi="Calibri"/>
          <w:sz w:val="24"/>
          <w:szCs w:val="24"/>
        </w:rPr>
      </w:pPr>
      <w:r>
        <w:rPr>
          <w:noProof/>
        </w:rPr>
        <w:pict>
          <v:rect style="width:0.0pt;height:1.5pt" o:hr="t" o:hrstd="t" o:hralign="center" fillcolor="#A0A0A0" stroked="f"/>
        </w:pict>
      </w:r>
      <w:r w:rsidR="00000000" w:rsidDel="00000000" w:rsidRPr="00000000">
        <w:rPr>
          <w:rtl w:val="0"/>
        </w:rPr>
      </w:r>
    </w:p>
    <w:p w:rsidR="00000000" w:rsidDel="00000000" w:rsidRDefault="00000000" w:rsidP="00000000" w:rsidRPr="00000000">
      <w:pPr>
        <w:contextualSpacing w:val="0"/>
        <w:rPr>
          <w:rFonts w:ascii="Calibri" w:cs="Calibri" w:eastAsia="Calibri" w:hAnsi="Calibri"/>
          <w:sz w:val="24"/>
          <w:szCs w:val="24"/>
        </w:rPr>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sectPr>
      <w:pgNumType w:start="1"/>
      <w:pgSz w:w="12240" w:h="15840"/>
      <w:pgMar w:left="1440" w:right="1440" w:top="1440" w:bottom="1440" w:header="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isplayBackgroundShape w:val="1"/>
  <w:defaultTabStop w:val="720"/>
  <w:compat>
    <w:compatSetting w:val="14" w:name="compatibilityMode" w:uri="http://schemas.microsoft.com/office/word"/>
  </w:compat>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