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A506A3" w:rsidRDefault="00A506A3" w:rsidP="00A506A3" w:rsidRPr="00E4336B">
      <w:pPr>
        <w:rPr>
          <w:b/>
          <w:sz w:val="24"/>
          <w:szCs w:val="24"/>
        </w:rPr>
      </w:pPr>
      <w:r w:rsidRPr="00E4336B">
        <w:rPr>
          <w:b/>
          <w:sz w:val="24"/>
          <w:szCs w:val="24"/>
        </w:rPr>
        <w:t xml:space="preserve">Title </w:t>
      </w:r>
    </w:p>
    <w:p w:rsidR="00A506A3" w:rsidRDefault="00A506A3" w:rsidP="00A506A3" w:rsidRPr="00E4336B">
      <w:pPr>
        <w:rPr>
          <w:sz w:val="24"/>
          <w:szCs w:val="24"/>
        </w:rPr>
      </w:pPr>
      <w:r w:rsidRPr="00E4336B">
        <w:rPr>
          <w:sz w:val="24"/>
          <w:szCs w:val="24"/>
        </w:rPr>
        <w:t>Senate Apportionment and Membership</w:t>
      </w:r>
      <w:r>
        <w:rPr>
          <w:sz w:val="24"/>
          <w:szCs w:val="24"/>
        </w:rPr>
        <w:t xml:space="preserve"> for New Georgia Southern</w:t>
      </w:r>
      <w:r w:rsidRPr="00E4336B">
        <w:rPr>
          <w:sz w:val="24"/>
          <w:szCs w:val="24"/>
        </w:rPr>
        <w:t xml:space="preserve"> </w:t>
      </w:r>
    </w:p>
    <w:p w:rsidR="00A506A3" w:rsidRDefault="00A506A3" w:rsidP="00A506A3" w:rsidRPr="00E4336B">
      <w:pPr>
        <w:rPr>
          <w:sz w:val="24"/>
          <w:szCs w:val="24"/>
        </w:rPr>
      </w:pPr>
    </w:p>
    <w:p w:rsidR="00A506A3" w:rsidRDefault="00A506A3" w:rsidP="00A506A3" w:rsidRPr="00E4336B">
      <w:pPr>
        <w:rPr>
          <w:b/>
          <w:sz w:val="24"/>
          <w:szCs w:val="24"/>
        </w:rPr>
      </w:pPr>
      <w:r w:rsidRPr="00E4336B">
        <w:rPr>
          <w:b/>
          <w:sz w:val="24"/>
          <w:szCs w:val="24"/>
        </w:rPr>
        <w:t xml:space="preserve">Motion </w:t>
      </w:r>
    </w:p>
    <w:p w:rsidR="00A506A3" w:rsidRDefault="00A506A3" w:rsidP="00A506A3">
      <w:pPr>
        <w:rPr>
          <w:sz w:val="24"/>
          <w:szCs w:val="24"/>
        </w:rPr>
      </w:pPr>
      <w:r w:rsidRPr="00E4336B">
        <w:rPr>
          <w:sz w:val="24"/>
          <w:szCs w:val="24"/>
        </w:rPr>
        <w:t xml:space="preserve">To determine the new Senate structure for the institution the OWG 5-1 Faculty Governance recommends apportioned faculty senate membership based on the current </w:t>
      </w:r>
      <w:r w:rsidRPr="00E4336B">
        <w:rPr>
          <w:i/>
          <w:sz w:val="24"/>
          <w:szCs w:val="24"/>
        </w:rPr>
        <w:t xml:space="preserve">Statutes </w:t>
      </w:r>
      <w:r w:rsidRPr="00E4336B">
        <w:rPr>
          <w:sz w:val="24"/>
          <w:szCs w:val="24"/>
        </w:rPr>
        <w:t>of Georgia Southern University.  In addition to maintaining the current faculty apportionment policy, the OWG recommends that there will be at least one faculty member serving at the different location to represent each college, we will have at leas</w:t>
      </w:r>
      <w:r>
        <w:rPr>
          <w:sz w:val="24"/>
          <w:szCs w:val="24"/>
        </w:rPr>
        <w:t>t one senator from both the Statesboro and Armstrong</w:t>
      </w:r>
      <w:r w:rsidRPr="00E4336B">
        <w:rPr>
          <w:sz w:val="24"/>
          <w:szCs w:val="24"/>
        </w:rPr>
        <w:t xml:space="preserve"> campus to serve on faculty s</w:t>
      </w:r>
      <w:r>
        <w:rPr>
          <w:sz w:val="24"/>
          <w:szCs w:val="24"/>
        </w:rPr>
        <w:t xml:space="preserve">enate executive committee.  One representative from the Liberty campus is also recommended. </w:t>
      </w:r>
    </w:p>
    <w:p w:rsidR="00A506A3" w:rsidRDefault="00A506A3" w:rsidP="00A506A3" w:rsidRPr="00E4336B">
      <w:pPr>
        <w:rPr>
          <w:sz w:val="24"/>
          <w:szCs w:val="24"/>
        </w:rPr>
      </w:pPr>
      <w:r>
        <w:rPr>
          <w:sz w:val="24"/>
          <w:szCs w:val="24"/>
        </w:rPr>
        <w:t xml:space="preserve">The SEC moves to add these revisions to senate bylaws on membership to reflect apportionment for all colleges and senate representative for the Liberty campus.  </w:t>
      </w:r>
      <w:r w:rsidRPr="00E4336B">
        <w:rPr>
          <w:sz w:val="24"/>
          <w:szCs w:val="24"/>
        </w:rPr>
        <w:t xml:space="preserve">  </w:t>
      </w:r>
    </w:p>
    <w:p w:rsidR="00A506A3" w:rsidRDefault="00A506A3" w:rsidP="00A506A3" w:rsidRPr="00E4336B">
      <w:pPr>
        <w:rPr>
          <w:sz w:val="24"/>
          <w:szCs w:val="24"/>
        </w:rPr>
      </w:pPr>
    </w:p>
    <w:p w:rsidR="00A506A3" w:rsidRDefault="00A506A3" w:rsidP="00A506A3" w:rsidRPr="00F878C9">
      <w:pPr>
        <w:rPr>
          <w:b/>
          <w:sz w:val="24"/>
          <w:szCs w:val="24"/>
        </w:rPr>
      </w:pPr>
      <w:r w:rsidRPr="00F878C9">
        <w:rPr>
          <w:b/>
          <w:sz w:val="24"/>
          <w:szCs w:val="24"/>
        </w:rPr>
        <w:t xml:space="preserve">Rationale </w:t>
      </w:r>
    </w:p>
    <w:p w:rsidR="00A506A3" w:rsidRDefault="00A506A3" w:rsidP="00A506A3" w:rsidRPr="00F878C9">
      <w:pPr>
        <w:rPr>
          <w:sz w:val="24"/>
          <w:szCs w:val="24"/>
        </w:rPr>
      </w:pPr>
      <w:r w:rsidRPr="00F878C9">
        <w:rPr>
          <w:sz w:val="24"/>
          <w:szCs w:val="24"/>
        </w:rPr>
        <w:t>The OWG 5-1 Faculty Governance is charged with consolidating the governance structure for the new GSU, presented the following recommendations to the CIC on August 7</w:t>
      </w:r>
      <w:r w:rsidRPr="00F878C9">
        <w:rPr>
          <w:sz w:val="24"/>
          <w:szCs w:val="24"/>
          <w:vertAlign w:val="superscript"/>
        </w:rPr>
        <w:t>th</w:t>
      </w:r>
      <w:r w:rsidRPr="00F878C9">
        <w:rPr>
          <w:sz w:val="24"/>
          <w:szCs w:val="24"/>
        </w:rPr>
        <w:t xml:space="preserve"> 2017.  </w:t>
      </w:r>
    </w:p>
    <w:p w:rsidR="00A506A3" w:rsidRDefault="00A506A3" w:rsidP="00A506A3" w:rsidRPr="00F878C9">
      <w:pPr>
        <w:rPr>
          <w:i/>
          <w:sz w:val="24"/>
          <w:szCs w:val="24"/>
        </w:rPr>
      </w:pPr>
      <w:r w:rsidRPr="00F878C9">
        <w:rPr>
          <w:i/>
          <w:sz w:val="24"/>
          <w:szCs w:val="24"/>
        </w:rPr>
        <w:t xml:space="preserve">OWG 5-1: Faculty Governance – Co-chairs: Richard Flynn (GSU) and David </w:t>
      </w:r>
      <w:proofErr w:type="spellStart"/>
      <w:r w:rsidRPr="00F878C9">
        <w:rPr>
          <w:i/>
          <w:sz w:val="24"/>
          <w:szCs w:val="24"/>
        </w:rPr>
        <w:t>Bringman</w:t>
      </w:r>
      <w:proofErr w:type="spellEnd"/>
      <w:r w:rsidRPr="00F878C9">
        <w:rPr>
          <w:i/>
          <w:sz w:val="24"/>
          <w:szCs w:val="24"/>
        </w:rPr>
        <w:t xml:space="preserve"> (ASU) </w:t>
      </w:r>
      <w:proofErr w:type="gramStart"/>
      <w:r w:rsidRPr="00F878C9">
        <w:rPr>
          <w:i/>
          <w:sz w:val="24"/>
          <w:szCs w:val="24"/>
        </w:rPr>
        <w:t>The</w:t>
      </w:r>
      <w:proofErr w:type="gramEnd"/>
      <w:r w:rsidRPr="00F878C9">
        <w:rPr>
          <w:i/>
          <w:sz w:val="24"/>
          <w:szCs w:val="24"/>
        </w:rPr>
        <w:t xml:space="preserve"> following recommendations were approved by consensus of the CIC with no objections. </w:t>
      </w:r>
    </w:p>
    <w:p w:rsidR="00A506A3" w:rsidRDefault="00A506A3" w:rsidP="00A506A3" w:rsidRPr="00F878C9">
      <w:pPr>
        <w:pStyle w:val="ListParagraph"/>
        <w:numPr>
          <w:ilvl w:val="0"/>
          <w:numId w:val="1"/>
        </w:numPr>
        <w:rPr>
          <w:i/>
          <w:sz w:val="24"/>
          <w:szCs w:val="24"/>
        </w:rPr>
      </w:pPr>
      <w:r w:rsidRPr="00F878C9">
        <w:rPr>
          <w:i/>
          <w:sz w:val="24"/>
          <w:szCs w:val="24"/>
        </w:rPr>
        <w:t xml:space="preserve">Recommend consolidation of the two faculty senates with additional seats designated to represent the ARM and Liberty campuses based on Georgia </w:t>
      </w:r>
      <w:proofErr w:type="spellStart"/>
      <w:r w:rsidRPr="00F878C9">
        <w:rPr>
          <w:i/>
          <w:sz w:val="24"/>
          <w:szCs w:val="24"/>
        </w:rPr>
        <w:t>Southern’s</w:t>
      </w:r>
      <w:proofErr w:type="spellEnd"/>
      <w:r w:rsidRPr="00F878C9">
        <w:rPr>
          <w:i/>
          <w:sz w:val="24"/>
          <w:szCs w:val="24"/>
        </w:rPr>
        <w:t xml:space="preserve"> current method of apportionment: Page 4 of 44 It is important that there be one faculty senate for the new institution. </w:t>
      </w:r>
    </w:p>
    <w:p w:rsidR="00A506A3" w:rsidRDefault="00A506A3" w:rsidP="00A506A3" w:rsidRPr="00F878C9">
      <w:pPr>
        <w:pStyle w:val="ListParagraph"/>
        <w:numPr>
          <w:ilvl w:val="0"/>
          <w:numId w:val="1"/>
        </w:numPr>
        <w:rPr>
          <w:sz w:val="24"/>
          <w:szCs w:val="24"/>
        </w:rPr>
      </w:pPr>
      <w:r w:rsidRPr="00F878C9">
        <w:rPr>
          <w:i/>
          <w:sz w:val="24"/>
          <w:szCs w:val="24"/>
        </w:rPr>
        <w:t xml:space="preserve">Under the current apportionment method (spelled out in Article II of the current Georgia Southern Bylaws) there will be approximately twenty additional senators designated to represent the ARM and Liberty Campuses.  </w:t>
      </w:r>
      <w:r w:rsidRPr="00F878C9">
        <w:rPr>
          <w:sz w:val="24"/>
          <w:szCs w:val="24"/>
        </w:rPr>
        <w:t>(CIC Meeting Notes August 7</w:t>
      </w:r>
      <w:r w:rsidRPr="00F878C9">
        <w:rPr>
          <w:sz w:val="24"/>
          <w:szCs w:val="24"/>
          <w:vertAlign w:val="superscript"/>
        </w:rPr>
        <w:t>th</w:t>
      </w:r>
      <w:r w:rsidRPr="00F878C9">
        <w:rPr>
          <w:sz w:val="24"/>
          <w:szCs w:val="24"/>
        </w:rPr>
        <w:t xml:space="preserve">. Consolidation Website </w:t>
      </w:r>
      <w:hyperlink w:history="1" r:id="rId5">
        <w:r w:rsidRPr="00F878C9">
          <w:rPr>
            <w:rStyle w:val="Hyperlink"/>
            <w:sz w:val="24"/>
            <w:szCs w:val="24"/>
          </w:rPr>
          <w:t>http://consolidation.georgiasouthern.edu/wp-content/uploads/August-7.Minutes.2017.pdf</w:t>
        </w:r>
      </w:hyperlink>
      <w:r w:rsidRPr="00F878C9">
        <w:rPr>
          <w:sz w:val="24"/>
          <w:szCs w:val="24"/>
        </w:rPr>
        <w:t xml:space="preserve">) </w:t>
      </w:r>
    </w:p>
    <w:p w:rsidR="00A506A3" w:rsidRDefault="00A506A3" w:rsidP="00A506A3" w:rsidRPr="00F878C9">
      <w:pPr>
        <w:pStyle w:val="ListParagraph"/>
        <w:tabs>
          <w:tab w:val="left" w:pos="1812"/>
        </w:tabs>
        <w:rPr>
          <w:i/>
          <w:sz w:val="24"/>
          <w:szCs w:val="24"/>
        </w:rPr>
      </w:pPr>
      <w:r>
        <w:rPr>
          <w:i/>
          <w:sz w:val="24"/>
          <w:szCs w:val="24"/>
        </w:rPr>
        <w:tab/>
      </w:r>
    </w:p>
    <w:p w:rsidR="00A506A3" w:rsidRDefault="00A506A3" w:rsidP="00A506A3" w:rsidRPr="00F878C9">
      <w:pPr>
        <w:rPr>
          <w:sz w:val="24"/>
          <w:szCs w:val="24"/>
        </w:rPr>
      </w:pPr>
      <w:r w:rsidRPr="00F878C9">
        <w:rPr>
          <w:sz w:val="24"/>
          <w:szCs w:val="24"/>
        </w:rPr>
        <w:t>The motion presented to the current GSU faculty senate is to discuss our framework for moving forward in consolidating faculty senate members across our different location. Based on the criteria above the new faculty members re</w:t>
      </w:r>
      <w:r>
        <w:rPr>
          <w:sz w:val="24"/>
          <w:szCs w:val="24"/>
        </w:rPr>
        <w:t>presenting Armstrong would be 23</w:t>
      </w:r>
      <w:r w:rsidRPr="00F878C9">
        <w:rPr>
          <w:sz w:val="24"/>
          <w:szCs w:val="24"/>
        </w:rPr>
        <w:t xml:space="preserve"> senators and 1 from Liberty campus.  Many of our faculty members are shifting between campuses this number may change pending the number of faculty members that will be housed on the Armstrong campus.  </w:t>
      </w:r>
      <w:r>
        <w:rPr>
          <w:sz w:val="24"/>
          <w:szCs w:val="24"/>
        </w:rPr>
        <w:t xml:space="preserve">Below </w:t>
      </w:r>
      <w:r w:rsidRPr="00F878C9">
        <w:rPr>
          <w:sz w:val="24"/>
          <w:szCs w:val="24"/>
        </w:rPr>
        <w:t>represents a chart for senators by college and location to further illustrate how this would look for voting purposes in Spring 2018 (elections for senators starting in Fall 2018).</w:t>
      </w:r>
    </w:p>
    <w:p w:rsidR="00A506A3" w:rsidRDefault="00A506A3" w:rsidP="00A506A3" w:rsidRPr="00F878C9">
      <w:pPr>
        <w:rPr>
          <w:sz w:val="24"/>
          <w:szCs w:val="24"/>
        </w:rPr>
      </w:pPr>
    </w:p>
    <w:p w:rsidR="00A506A3" w:rsidRDefault="00A506A3" w:rsidP="00A506A3">
      <w:pPr>
        <w:rPr>
          <w:sz w:val="24"/>
          <w:szCs w:val="24"/>
        </w:rPr>
      </w:pPr>
    </w:p>
    <w:p w:rsidR="00A506A3" w:rsidRDefault="00A506A3" w:rsidP="00A506A3">
      <w:pPr>
        <w:rPr>
          <w:sz w:val="24"/>
          <w:szCs w:val="24"/>
        </w:rPr>
      </w:pPr>
    </w:p>
    <w:p w:rsidR="00A506A3" w:rsidRDefault="00A506A3" w:rsidP="00A506A3">
      <w:pPr>
        <w:rPr>
          <w:sz w:val="24"/>
          <w:szCs w:val="24"/>
        </w:rPr>
      </w:pPr>
    </w:p>
    <w:p w:rsidR="00A506A3" w:rsidRDefault="00A506A3" w:rsidP="00A506A3">
      <w:pPr>
        <w:rPr>
          <w:sz w:val="24"/>
          <w:szCs w:val="24"/>
        </w:rPr>
      </w:pPr>
    </w:p>
    <w:p w:rsidR="00A506A3" w:rsidRDefault="00A506A3" w:rsidP="00A506A3">
      <w:pPr>
        <w:rPr>
          <w:sz w:val="24"/>
          <w:szCs w:val="24"/>
        </w:rPr>
      </w:pPr>
    </w:p>
    <w:p w:rsidR="00A506A3" w:rsidRDefault="00A506A3" w:rsidP="00A506A3">
      <w:pPr>
        <w:rPr>
          <w:sz w:val="24"/>
          <w:szCs w:val="24"/>
        </w:rPr>
      </w:pPr>
    </w:p>
    <w:p w:rsidR="00A506A3" w:rsidRDefault="00A506A3" w:rsidP="00A506A3">
      <w:pPr>
        <w:rPr>
          <w:sz w:val="24"/>
          <w:szCs w:val="24"/>
        </w:rPr>
      </w:pPr>
    </w:p>
    <w:p w:rsidR="00A506A3" w:rsidRDefault="00A506A3" w:rsidP="00A506A3">
      <w:pPr>
        <w:rPr>
          <w:sz w:val="24"/>
          <w:szCs w:val="24"/>
        </w:rPr>
      </w:pPr>
    </w:p>
    <w:p w:rsidR="00A506A3" w:rsidRDefault="00A506A3" w:rsidP="00A506A3" w:rsidRPr="00F878C9">
      <w:pPr>
        <w:rPr>
          <w:sz w:val="24"/>
          <w:szCs w:val="24"/>
        </w:rPr>
      </w:pPr>
      <w:r w:rsidRPr="00F878C9">
        <w:rPr>
          <w:sz w:val="24"/>
          <w:szCs w:val="24"/>
        </w:rPr>
        <w:t xml:space="preserve"> </w:t>
      </w:r>
    </w:p>
    <w:tbl>
      <w:tblPr>
        <w:tblW w:w="9445" w:type="dxa"/>
        <w:tblLayout w:type="fixed"/>
        <w:tblStyle w:val="TableGrid"/>
        <w:tblLook w:firstRow="1" w:lastRow="0" w:firstColumn="1" w:lastColumn="0" w:noHBand="0" w:noVBand="1"/>
      </w:tblPr>
      <w:tblGrid>
        <w:gridCol w:w="3775"/>
        <w:gridCol w:w="1530"/>
        <w:gridCol w:w="1440"/>
        <w:gridCol w:w="1440"/>
        <w:gridCol w:w="1260"/>
      </w:tblGrid>
      <w:tr w:rsidR="00A506A3" w:rsidRPr="00F878C9" w:rsidTr="00EE2148">
        <w:tc>
          <w:tcPr>
            <w:tcW w:w="3775" w:type="dxa"/>
          </w:tcPr>
          <w:p w:rsidR="00A506A3" w:rsidRDefault="00A506A3" w:rsidP="00EE2148" w:rsidRPr="00F878C9">
            <w:pPr>
              <w:jc w:val="center"/>
              <w:rPr>
                <w:b/>
                <w:sz w:val="24"/>
                <w:szCs w:val="24"/>
              </w:rPr>
            </w:pPr>
            <w:r w:rsidRPr="00F878C9">
              <w:rPr>
                <w:b/>
                <w:sz w:val="24"/>
                <w:szCs w:val="24"/>
              </w:rPr>
              <w:t>College</w:t>
              <w:lastRenderedPageBreak/>
            </w:r>
          </w:p>
        </w:tc>
        <w:tc>
          <w:tcPr>
            <w:tcW w:w="1530" w:type="dxa"/>
          </w:tcPr>
          <w:p w:rsidR="00A506A3" w:rsidRDefault="00A506A3" w:rsidP="00EE2148" w:rsidRPr="00F878C9">
            <w:pPr>
              <w:jc w:val="center"/>
              <w:rPr>
                <w:b/>
                <w:sz w:val="24"/>
                <w:szCs w:val="24"/>
              </w:rPr>
            </w:pPr>
            <w:r w:rsidRPr="00F878C9">
              <w:rPr>
                <w:b/>
                <w:sz w:val="24"/>
                <w:szCs w:val="24"/>
              </w:rPr>
              <w:t>Faculty GSU</w:t>
            </w:r>
          </w:p>
        </w:tc>
        <w:tc>
          <w:tcPr>
            <w:tcW w:w="1440" w:type="dxa"/>
          </w:tcPr>
          <w:p w:rsidR="00A506A3" w:rsidRDefault="00A506A3" w:rsidP="00EE2148" w:rsidRPr="00F878C9">
            <w:pPr>
              <w:jc w:val="center"/>
              <w:rPr>
                <w:b/>
                <w:sz w:val="24"/>
                <w:szCs w:val="24"/>
              </w:rPr>
            </w:pPr>
            <w:r w:rsidRPr="00F878C9">
              <w:rPr>
                <w:b/>
                <w:sz w:val="24"/>
                <w:szCs w:val="24"/>
              </w:rPr>
              <w:t>Senators – Statesboro</w:t>
            </w:r>
          </w:p>
        </w:tc>
        <w:tc>
          <w:tcPr>
            <w:tcW w:w="1440" w:type="dxa"/>
          </w:tcPr>
          <w:p w:rsidR="00A506A3" w:rsidRDefault="00A506A3" w:rsidP="00EE2148" w:rsidRPr="00F878C9">
            <w:pPr>
              <w:jc w:val="center"/>
              <w:rPr>
                <w:b/>
                <w:sz w:val="24"/>
                <w:szCs w:val="24"/>
              </w:rPr>
            </w:pPr>
            <w:r w:rsidRPr="00F878C9">
              <w:rPr>
                <w:b/>
                <w:sz w:val="24"/>
                <w:szCs w:val="24"/>
              </w:rPr>
              <w:t>Faculty Armstrong</w:t>
            </w:r>
          </w:p>
        </w:tc>
        <w:tc>
          <w:tcPr>
            <w:tcW w:w="1260" w:type="dxa"/>
          </w:tcPr>
          <w:p w:rsidR="00A506A3" w:rsidRDefault="00A506A3" w:rsidP="00EE2148" w:rsidRPr="00F878C9">
            <w:pPr>
              <w:jc w:val="center"/>
              <w:rPr>
                <w:b/>
                <w:sz w:val="24"/>
                <w:szCs w:val="24"/>
              </w:rPr>
            </w:pPr>
            <w:r w:rsidRPr="00F878C9">
              <w:rPr>
                <w:b/>
                <w:sz w:val="24"/>
                <w:szCs w:val="24"/>
              </w:rPr>
              <w:t>Senators</w:t>
            </w:r>
          </w:p>
          <w:p w:rsidR="00A506A3" w:rsidRDefault="00A506A3" w:rsidP="00EE2148" w:rsidRPr="00F878C9">
            <w:pPr>
              <w:jc w:val="center"/>
              <w:rPr>
                <w:b/>
                <w:sz w:val="24"/>
                <w:szCs w:val="24"/>
              </w:rPr>
            </w:pPr>
            <w:r w:rsidRPr="00F878C9">
              <w:rPr>
                <w:b/>
                <w:sz w:val="24"/>
                <w:szCs w:val="24"/>
              </w:rPr>
              <w:t>Armstrong</w:t>
            </w:r>
          </w:p>
        </w:tc>
      </w:tr>
      <w:tr w:rsidR="00A506A3" w:rsidRPr="00F878C9" w:rsidTr="00EE2148">
        <w:tc>
          <w:tcPr>
            <w:tcW w:w="3775" w:type="dxa"/>
          </w:tcPr>
          <w:p w:rsidR="00A506A3" w:rsidRDefault="00A506A3" w:rsidP="00EE2148" w:rsidRPr="00F878C9">
            <w:pPr>
              <w:rPr>
                <w:sz w:val="24"/>
                <w:szCs w:val="24"/>
              </w:rPr>
            </w:pPr>
            <w:r w:rsidRPr="00F878C9">
              <w:rPr>
                <w:sz w:val="24"/>
                <w:szCs w:val="24"/>
              </w:rPr>
              <w:t>College of Business</w:t>
            </w:r>
          </w:p>
        </w:tc>
        <w:tc>
          <w:tcPr>
            <w:tcW w:w="1530" w:type="dxa"/>
          </w:tcPr>
          <w:p w:rsidR="00A506A3" w:rsidRDefault="00A506A3" w:rsidP="00EE2148" w:rsidRPr="00F878C9">
            <w:pPr>
              <w:rPr>
                <w:sz w:val="24"/>
                <w:szCs w:val="24"/>
              </w:rPr>
            </w:pPr>
            <w:r w:rsidRPr="00F878C9">
              <w:rPr>
                <w:sz w:val="24"/>
                <w:szCs w:val="24"/>
              </w:rPr>
              <w:t>109</w:t>
            </w:r>
          </w:p>
        </w:tc>
        <w:tc>
          <w:tcPr>
            <w:tcW w:w="1440" w:type="dxa"/>
          </w:tcPr>
          <w:p w:rsidR="00A506A3" w:rsidRDefault="00A506A3" w:rsidP="00EE2148" w:rsidRPr="00F878C9">
            <w:pPr>
              <w:rPr>
                <w:sz w:val="24"/>
                <w:szCs w:val="24"/>
              </w:rPr>
            </w:pPr>
            <w:r w:rsidRPr="00F878C9">
              <w:rPr>
                <w:sz w:val="24"/>
                <w:szCs w:val="24"/>
              </w:rPr>
              <w:t>7</w:t>
            </w:r>
          </w:p>
        </w:tc>
        <w:tc>
          <w:tcPr>
            <w:tcW w:w="1440" w:type="dxa"/>
          </w:tcPr>
          <w:p w:rsidR="00A506A3" w:rsidRDefault="00A506A3" w:rsidP="00EE2148" w:rsidRPr="00F878C9">
            <w:pPr>
              <w:rPr>
                <w:sz w:val="24"/>
                <w:szCs w:val="24"/>
              </w:rPr>
            </w:pPr>
            <w:r w:rsidRPr="00F878C9">
              <w:rPr>
                <w:sz w:val="24"/>
                <w:szCs w:val="24"/>
              </w:rPr>
              <w:t>8</w:t>
            </w:r>
          </w:p>
        </w:tc>
        <w:tc>
          <w:tcPr>
            <w:tcW w:w="1260" w:type="dxa"/>
          </w:tcPr>
          <w:p w:rsidR="00A506A3" w:rsidRDefault="00A506A3" w:rsidP="00EE2148" w:rsidRPr="00F878C9">
            <w:pPr>
              <w:rPr>
                <w:sz w:val="24"/>
                <w:szCs w:val="24"/>
              </w:rPr>
            </w:pPr>
            <w:r w:rsidRPr="00F878C9">
              <w:rPr>
                <w:sz w:val="24"/>
                <w:szCs w:val="24"/>
              </w:rPr>
              <w:t>1</w:t>
            </w:r>
          </w:p>
        </w:tc>
      </w:tr>
      <w:tr w:rsidR="00A506A3" w:rsidRPr="00F878C9" w:rsidTr="00EE2148">
        <w:tc>
          <w:tcPr>
            <w:tcW w:w="3775" w:type="dxa"/>
          </w:tcPr>
          <w:p w:rsidR="00A506A3" w:rsidRDefault="00A506A3" w:rsidP="00EE2148" w:rsidRPr="00F878C9">
            <w:pPr>
              <w:rPr>
                <w:sz w:val="24"/>
                <w:szCs w:val="24"/>
              </w:rPr>
            </w:pPr>
            <w:r w:rsidRPr="00F878C9">
              <w:rPr>
                <w:sz w:val="24"/>
                <w:szCs w:val="24"/>
              </w:rPr>
              <w:t>Allen E. Paulson College of Engineering and Computing</w:t>
            </w:r>
          </w:p>
        </w:tc>
        <w:tc>
          <w:tcPr>
            <w:tcW w:w="1530" w:type="dxa"/>
          </w:tcPr>
          <w:p w:rsidR="00A506A3" w:rsidRDefault="00A506A3" w:rsidP="00EE2148" w:rsidRPr="00F878C9">
            <w:pPr>
              <w:rPr>
                <w:sz w:val="24"/>
                <w:szCs w:val="24"/>
              </w:rPr>
            </w:pPr>
            <w:r w:rsidRPr="00F878C9">
              <w:rPr>
                <w:sz w:val="24"/>
                <w:szCs w:val="24"/>
              </w:rPr>
              <w:t>91</w:t>
            </w:r>
          </w:p>
        </w:tc>
        <w:tc>
          <w:tcPr>
            <w:tcW w:w="1440" w:type="dxa"/>
          </w:tcPr>
          <w:p w:rsidR="00A506A3" w:rsidRDefault="00A506A3" w:rsidP="00EE2148" w:rsidRPr="00F878C9">
            <w:pPr>
              <w:rPr>
                <w:sz w:val="24"/>
                <w:szCs w:val="24"/>
              </w:rPr>
            </w:pPr>
            <w:r w:rsidRPr="00F878C9">
              <w:rPr>
                <w:sz w:val="24"/>
                <w:szCs w:val="24"/>
              </w:rPr>
              <w:t>6</w:t>
            </w:r>
          </w:p>
        </w:tc>
        <w:tc>
          <w:tcPr>
            <w:tcW w:w="1440" w:type="dxa"/>
          </w:tcPr>
          <w:p w:rsidR="00A506A3" w:rsidRDefault="00A506A3" w:rsidP="00EE2148" w:rsidRPr="00F878C9">
            <w:pPr>
              <w:rPr>
                <w:sz w:val="24"/>
                <w:szCs w:val="24"/>
              </w:rPr>
            </w:pPr>
            <w:r w:rsidRPr="00F878C9">
              <w:rPr>
                <w:sz w:val="24"/>
                <w:szCs w:val="24"/>
              </w:rPr>
              <w:t>14</w:t>
            </w:r>
          </w:p>
        </w:tc>
        <w:tc>
          <w:tcPr>
            <w:tcW w:w="1260" w:type="dxa"/>
          </w:tcPr>
          <w:p w:rsidR="00A506A3" w:rsidRDefault="00A506A3" w:rsidP="00EE2148" w:rsidRPr="00F878C9">
            <w:pPr>
              <w:rPr>
                <w:sz w:val="24"/>
                <w:szCs w:val="24"/>
              </w:rPr>
            </w:pPr>
            <w:r w:rsidRPr="00F878C9">
              <w:rPr>
                <w:sz w:val="24"/>
                <w:szCs w:val="24"/>
              </w:rPr>
              <w:t>1</w:t>
            </w:r>
          </w:p>
        </w:tc>
      </w:tr>
      <w:tr w:rsidR="00A506A3" w:rsidRPr="00F878C9" w:rsidTr="00EE2148">
        <w:tc>
          <w:tcPr>
            <w:tcW w:w="3775" w:type="dxa"/>
          </w:tcPr>
          <w:p w:rsidR="00A506A3" w:rsidRDefault="00A506A3" w:rsidP="00EE2148" w:rsidRPr="00F878C9">
            <w:pPr>
              <w:rPr>
                <w:sz w:val="24"/>
                <w:szCs w:val="24"/>
              </w:rPr>
            </w:pPr>
            <w:proofErr w:type="spellStart"/>
            <w:r w:rsidRPr="00F878C9">
              <w:rPr>
                <w:sz w:val="24"/>
                <w:szCs w:val="24"/>
              </w:rPr>
              <w:t>Jiann</w:t>
            </w:r>
            <w:proofErr w:type="spellEnd"/>
            <w:r w:rsidRPr="00F878C9">
              <w:rPr>
                <w:sz w:val="24"/>
                <w:szCs w:val="24"/>
              </w:rPr>
              <w:t>-Ping Hsu College of Public Health</w:t>
            </w:r>
          </w:p>
        </w:tc>
        <w:tc>
          <w:tcPr>
            <w:tcW w:w="1530" w:type="dxa"/>
          </w:tcPr>
          <w:p w:rsidR="00A506A3" w:rsidRDefault="00A506A3" w:rsidP="00EE2148" w:rsidRPr="00F878C9">
            <w:pPr>
              <w:rPr>
                <w:sz w:val="24"/>
                <w:szCs w:val="24"/>
              </w:rPr>
            </w:pPr>
            <w:r w:rsidRPr="00F878C9">
              <w:rPr>
                <w:sz w:val="24"/>
                <w:szCs w:val="24"/>
              </w:rPr>
              <w:t>45</w:t>
            </w:r>
          </w:p>
        </w:tc>
        <w:tc>
          <w:tcPr>
            <w:tcW w:w="1440" w:type="dxa"/>
          </w:tcPr>
          <w:p w:rsidR="00A506A3" w:rsidRDefault="00A506A3" w:rsidP="00EE2148" w:rsidRPr="00F878C9">
            <w:pPr>
              <w:rPr>
                <w:sz w:val="24"/>
                <w:szCs w:val="24"/>
              </w:rPr>
            </w:pPr>
            <w:r w:rsidRPr="00F878C9">
              <w:rPr>
                <w:sz w:val="24"/>
                <w:szCs w:val="24"/>
              </w:rPr>
              <w:t>3</w:t>
            </w:r>
          </w:p>
        </w:tc>
        <w:tc>
          <w:tcPr>
            <w:tcW w:w="1440" w:type="dxa"/>
          </w:tcPr>
          <w:p w:rsidR="00A506A3" w:rsidRDefault="00A506A3" w:rsidP="00EE2148" w:rsidRPr="00F878C9">
            <w:pPr>
              <w:rPr>
                <w:sz w:val="24"/>
                <w:szCs w:val="24"/>
              </w:rPr>
            </w:pPr>
            <w:r w:rsidRPr="00F878C9">
              <w:rPr>
                <w:sz w:val="24"/>
                <w:szCs w:val="24"/>
              </w:rPr>
              <w:t>5</w:t>
            </w:r>
          </w:p>
        </w:tc>
        <w:tc>
          <w:tcPr>
            <w:tcW w:w="1260" w:type="dxa"/>
          </w:tcPr>
          <w:p w:rsidR="00A506A3" w:rsidRDefault="00A506A3" w:rsidP="00EE2148" w:rsidRPr="00F878C9">
            <w:pPr>
              <w:rPr>
                <w:sz w:val="24"/>
                <w:szCs w:val="24"/>
              </w:rPr>
            </w:pPr>
            <w:r w:rsidRPr="00F878C9">
              <w:rPr>
                <w:sz w:val="24"/>
                <w:szCs w:val="24"/>
              </w:rPr>
              <w:t>1</w:t>
            </w:r>
          </w:p>
        </w:tc>
      </w:tr>
      <w:tr w:rsidR="00A506A3" w:rsidRPr="00F878C9" w:rsidTr="00EE2148">
        <w:tc>
          <w:tcPr>
            <w:tcW w:w="3775" w:type="dxa"/>
          </w:tcPr>
          <w:p w:rsidR="00A506A3" w:rsidRDefault="00A506A3" w:rsidP="00EE2148" w:rsidRPr="00F878C9">
            <w:pPr>
              <w:rPr>
                <w:sz w:val="24"/>
                <w:szCs w:val="24"/>
              </w:rPr>
            </w:pPr>
            <w:r w:rsidRPr="00F878C9">
              <w:rPr>
                <w:sz w:val="24"/>
                <w:szCs w:val="24"/>
              </w:rPr>
              <w:t>College of Science and Mathematics</w:t>
            </w:r>
          </w:p>
        </w:tc>
        <w:tc>
          <w:tcPr>
            <w:tcW w:w="1530" w:type="dxa"/>
          </w:tcPr>
          <w:p w:rsidR="00A506A3" w:rsidRDefault="00A506A3" w:rsidP="00EE2148" w:rsidRPr="00F878C9">
            <w:pPr>
              <w:rPr>
                <w:sz w:val="24"/>
                <w:szCs w:val="24"/>
              </w:rPr>
            </w:pPr>
            <w:r w:rsidRPr="00F878C9">
              <w:rPr>
                <w:sz w:val="24"/>
                <w:szCs w:val="24"/>
              </w:rPr>
              <w:t>117</w:t>
            </w:r>
          </w:p>
        </w:tc>
        <w:tc>
          <w:tcPr>
            <w:tcW w:w="1440" w:type="dxa"/>
          </w:tcPr>
          <w:p w:rsidR="00A506A3" w:rsidRDefault="00A506A3" w:rsidP="00EE2148" w:rsidRPr="00F878C9">
            <w:pPr>
              <w:rPr>
                <w:sz w:val="24"/>
                <w:szCs w:val="24"/>
              </w:rPr>
            </w:pPr>
            <w:r w:rsidRPr="00F878C9">
              <w:rPr>
                <w:sz w:val="24"/>
                <w:szCs w:val="24"/>
              </w:rPr>
              <w:t>8</w:t>
            </w:r>
          </w:p>
        </w:tc>
        <w:tc>
          <w:tcPr>
            <w:tcW w:w="1440" w:type="dxa"/>
          </w:tcPr>
          <w:p w:rsidR="00A506A3" w:rsidRDefault="00A506A3" w:rsidP="00EE2148" w:rsidRPr="00F878C9">
            <w:pPr>
              <w:rPr>
                <w:sz w:val="24"/>
                <w:szCs w:val="24"/>
              </w:rPr>
            </w:pPr>
            <w:r w:rsidRPr="00F878C9">
              <w:rPr>
                <w:sz w:val="24"/>
                <w:szCs w:val="24"/>
              </w:rPr>
              <w:t>73</w:t>
            </w:r>
          </w:p>
        </w:tc>
        <w:tc>
          <w:tcPr>
            <w:tcW w:w="1260" w:type="dxa"/>
          </w:tcPr>
          <w:p w:rsidR="00A506A3" w:rsidRDefault="00A506A3" w:rsidP="00EE2148" w:rsidRPr="00F878C9">
            <w:pPr>
              <w:rPr>
                <w:sz w:val="24"/>
                <w:szCs w:val="24"/>
              </w:rPr>
            </w:pPr>
            <w:r w:rsidRPr="00F878C9">
              <w:rPr>
                <w:sz w:val="24"/>
                <w:szCs w:val="24"/>
              </w:rPr>
              <w:t>5</w:t>
            </w:r>
          </w:p>
        </w:tc>
      </w:tr>
      <w:tr w:rsidR="00A506A3" w:rsidRPr="00F878C9" w:rsidTr="00EE2148">
        <w:tc>
          <w:tcPr>
            <w:tcW w:w="3775" w:type="dxa"/>
          </w:tcPr>
          <w:p w:rsidR="00A506A3" w:rsidRDefault="00A506A3" w:rsidP="00EE2148" w:rsidRPr="00F878C9">
            <w:pPr>
              <w:rPr>
                <w:sz w:val="24"/>
                <w:szCs w:val="24"/>
              </w:rPr>
            </w:pPr>
            <w:r w:rsidRPr="00F878C9">
              <w:rPr>
                <w:sz w:val="24"/>
                <w:szCs w:val="24"/>
              </w:rPr>
              <w:t>Don and Cindy Waters College of Health Professions</w:t>
            </w:r>
          </w:p>
        </w:tc>
        <w:tc>
          <w:tcPr>
            <w:tcW w:w="1530" w:type="dxa"/>
          </w:tcPr>
          <w:p w:rsidR="00A506A3" w:rsidRDefault="00A506A3" w:rsidP="00EE2148" w:rsidRPr="00F878C9">
            <w:pPr>
              <w:rPr>
                <w:sz w:val="24"/>
                <w:szCs w:val="24"/>
              </w:rPr>
            </w:pPr>
            <w:r w:rsidRPr="00F878C9">
              <w:rPr>
                <w:sz w:val="24"/>
                <w:szCs w:val="24"/>
              </w:rPr>
              <w:t>97</w:t>
            </w:r>
          </w:p>
        </w:tc>
        <w:tc>
          <w:tcPr>
            <w:tcW w:w="1440" w:type="dxa"/>
          </w:tcPr>
          <w:p w:rsidR="00A506A3" w:rsidRDefault="00A506A3" w:rsidP="00EE2148" w:rsidRPr="00F878C9">
            <w:pPr>
              <w:rPr>
                <w:sz w:val="24"/>
                <w:szCs w:val="24"/>
              </w:rPr>
            </w:pPr>
            <w:r w:rsidRPr="00F878C9">
              <w:rPr>
                <w:sz w:val="24"/>
                <w:szCs w:val="24"/>
              </w:rPr>
              <w:t>6</w:t>
            </w:r>
          </w:p>
        </w:tc>
        <w:tc>
          <w:tcPr>
            <w:tcW w:w="1440" w:type="dxa"/>
          </w:tcPr>
          <w:p w:rsidR="00A506A3" w:rsidRDefault="00A506A3" w:rsidP="00EE2148" w:rsidRPr="00F878C9">
            <w:pPr>
              <w:rPr>
                <w:sz w:val="24"/>
                <w:szCs w:val="24"/>
              </w:rPr>
            </w:pPr>
            <w:r w:rsidRPr="00F878C9">
              <w:rPr>
                <w:sz w:val="24"/>
                <w:szCs w:val="24"/>
              </w:rPr>
              <w:t>75</w:t>
            </w:r>
          </w:p>
        </w:tc>
        <w:tc>
          <w:tcPr>
            <w:tcW w:w="1260" w:type="dxa"/>
          </w:tcPr>
          <w:p w:rsidR="00A506A3" w:rsidRDefault="00A506A3" w:rsidP="00EE2148" w:rsidRPr="00F878C9">
            <w:pPr>
              <w:rPr>
                <w:sz w:val="24"/>
                <w:szCs w:val="24"/>
              </w:rPr>
            </w:pPr>
            <w:r w:rsidRPr="00F878C9">
              <w:rPr>
                <w:sz w:val="24"/>
                <w:szCs w:val="24"/>
              </w:rPr>
              <w:t>5</w:t>
            </w:r>
          </w:p>
        </w:tc>
      </w:tr>
      <w:tr w:rsidR="00A506A3" w:rsidRPr="00F878C9" w:rsidTr="00EE2148">
        <w:tc>
          <w:tcPr>
            <w:tcW w:w="3775" w:type="dxa"/>
          </w:tcPr>
          <w:p w:rsidR="00A506A3" w:rsidRDefault="00A506A3" w:rsidP="00EE2148" w:rsidRPr="00F878C9">
            <w:pPr>
              <w:rPr>
                <w:sz w:val="24"/>
                <w:szCs w:val="24"/>
              </w:rPr>
            </w:pPr>
            <w:r w:rsidRPr="00F878C9">
              <w:rPr>
                <w:sz w:val="24"/>
                <w:szCs w:val="24"/>
              </w:rPr>
              <w:t>College of Education</w:t>
            </w:r>
          </w:p>
        </w:tc>
        <w:tc>
          <w:tcPr>
            <w:tcW w:w="1530" w:type="dxa"/>
          </w:tcPr>
          <w:p w:rsidR="00A506A3" w:rsidRDefault="00A506A3" w:rsidP="00EE2148" w:rsidRPr="00F878C9">
            <w:pPr>
              <w:rPr>
                <w:sz w:val="24"/>
                <w:szCs w:val="24"/>
              </w:rPr>
            </w:pPr>
            <w:r w:rsidRPr="00F878C9">
              <w:rPr>
                <w:sz w:val="24"/>
                <w:szCs w:val="24"/>
              </w:rPr>
              <w:t>92</w:t>
            </w:r>
          </w:p>
        </w:tc>
        <w:tc>
          <w:tcPr>
            <w:tcW w:w="1440" w:type="dxa"/>
          </w:tcPr>
          <w:p w:rsidR="00A506A3" w:rsidRDefault="00A506A3" w:rsidP="00EE2148" w:rsidRPr="00F878C9">
            <w:pPr>
              <w:rPr>
                <w:sz w:val="24"/>
                <w:szCs w:val="24"/>
              </w:rPr>
            </w:pPr>
            <w:r w:rsidRPr="00F878C9">
              <w:rPr>
                <w:sz w:val="24"/>
                <w:szCs w:val="24"/>
              </w:rPr>
              <w:t>6</w:t>
            </w:r>
          </w:p>
        </w:tc>
        <w:tc>
          <w:tcPr>
            <w:tcW w:w="1440" w:type="dxa"/>
          </w:tcPr>
          <w:p w:rsidR="00A506A3" w:rsidRDefault="00A506A3" w:rsidP="00EE2148" w:rsidRPr="00F878C9">
            <w:pPr>
              <w:rPr>
                <w:sz w:val="24"/>
                <w:szCs w:val="24"/>
              </w:rPr>
            </w:pPr>
            <w:r w:rsidRPr="00F878C9">
              <w:rPr>
                <w:sz w:val="24"/>
                <w:szCs w:val="24"/>
              </w:rPr>
              <w:t>24</w:t>
            </w:r>
          </w:p>
        </w:tc>
        <w:tc>
          <w:tcPr>
            <w:tcW w:w="1260" w:type="dxa"/>
          </w:tcPr>
          <w:p w:rsidR="00A506A3" w:rsidRDefault="00A506A3" w:rsidP="00EE2148" w:rsidRPr="00F878C9">
            <w:pPr>
              <w:rPr>
                <w:sz w:val="24"/>
                <w:szCs w:val="24"/>
              </w:rPr>
            </w:pPr>
            <w:r w:rsidRPr="00F878C9">
              <w:rPr>
                <w:sz w:val="24"/>
                <w:szCs w:val="24"/>
              </w:rPr>
              <w:t>2</w:t>
            </w:r>
          </w:p>
        </w:tc>
      </w:tr>
      <w:tr w:rsidR="00A506A3" w:rsidRPr="00F878C9" w:rsidTr="00EE2148">
        <w:tc>
          <w:tcPr>
            <w:tcW w:w="3775" w:type="dxa"/>
          </w:tcPr>
          <w:p w:rsidR="00A506A3" w:rsidRDefault="00A506A3" w:rsidP="00EE2148" w:rsidRPr="00F878C9">
            <w:pPr>
              <w:rPr>
                <w:sz w:val="24"/>
                <w:szCs w:val="24"/>
              </w:rPr>
            </w:pPr>
            <w:r w:rsidRPr="00F878C9">
              <w:rPr>
                <w:sz w:val="24"/>
                <w:szCs w:val="24"/>
              </w:rPr>
              <w:t xml:space="preserve">College of Behavioral Sciences </w:t>
            </w:r>
          </w:p>
        </w:tc>
        <w:tc>
          <w:tcPr>
            <w:tcW w:w="1530" w:type="dxa"/>
          </w:tcPr>
          <w:p w:rsidR="00A506A3" w:rsidRDefault="00A506A3" w:rsidP="00EE2148" w:rsidRPr="00F878C9">
            <w:pPr>
              <w:rPr>
                <w:sz w:val="24"/>
                <w:szCs w:val="24"/>
              </w:rPr>
            </w:pPr>
            <w:r w:rsidRPr="00F878C9">
              <w:rPr>
                <w:sz w:val="24"/>
                <w:szCs w:val="24"/>
              </w:rPr>
              <w:t>92</w:t>
            </w:r>
          </w:p>
        </w:tc>
        <w:tc>
          <w:tcPr>
            <w:tcW w:w="1440" w:type="dxa"/>
          </w:tcPr>
          <w:p w:rsidR="00A506A3" w:rsidRDefault="00A506A3" w:rsidP="00EE2148" w:rsidRPr="00F878C9">
            <w:pPr>
              <w:rPr>
                <w:sz w:val="24"/>
                <w:szCs w:val="24"/>
              </w:rPr>
            </w:pPr>
            <w:r w:rsidRPr="00F878C9">
              <w:rPr>
                <w:sz w:val="24"/>
                <w:szCs w:val="24"/>
              </w:rPr>
              <w:t>6</w:t>
            </w:r>
          </w:p>
        </w:tc>
        <w:tc>
          <w:tcPr>
            <w:tcW w:w="1440" w:type="dxa"/>
          </w:tcPr>
          <w:p w:rsidR="00A506A3" w:rsidRDefault="00A506A3" w:rsidP="00EE2148" w:rsidRPr="00F878C9">
            <w:pPr>
              <w:rPr>
                <w:sz w:val="24"/>
                <w:szCs w:val="24"/>
              </w:rPr>
            </w:pPr>
            <w:r w:rsidRPr="00F878C9">
              <w:rPr>
                <w:sz w:val="24"/>
                <w:szCs w:val="24"/>
              </w:rPr>
              <w:t>25</w:t>
            </w:r>
          </w:p>
        </w:tc>
        <w:tc>
          <w:tcPr>
            <w:tcW w:w="1260" w:type="dxa"/>
          </w:tcPr>
          <w:p w:rsidR="00A506A3" w:rsidRDefault="00A506A3" w:rsidP="00EE2148" w:rsidRPr="00F878C9">
            <w:pPr>
              <w:rPr>
                <w:sz w:val="24"/>
                <w:szCs w:val="24"/>
              </w:rPr>
            </w:pPr>
            <w:r w:rsidRPr="00F878C9">
              <w:rPr>
                <w:sz w:val="24"/>
                <w:szCs w:val="24"/>
              </w:rPr>
              <w:t>2</w:t>
            </w:r>
          </w:p>
        </w:tc>
      </w:tr>
      <w:tr w:rsidR="00A506A3" w:rsidRPr="00F878C9" w:rsidTr="00EE2148">
        <w:tc>
          <w:tcPr>
            <w:tcW w:w="3775" w:type="dxa"/>
          </w:tcPr>
          <w:p w:rsidR="00A506A3" w:rsidRDefault="00A506A3" w:rsidP="00EE2148" w:rsidRPr="00F878C9">
            <w:pPr>
              <w:rPr>
                <w:sz w:val="24"/>
                <w:szCs w:val="24"/>
              </w:rPr>
            </w:pPr>
            <w:r w:rsidRPr="00F878C9">
              <w:rPr>
                <w:sz w:val="24"/>
                <w:szCs w:val="24"/>
              </w:rPr>
              <w:t>College of Arts and Humanities</w:t>
            </w:r>
          </w:p>
        </w:tc>
        <w:tc>
          <w:tcPr>
            <w:tcW w:w="1530" w:type="dxa"/>
          </w:tcPr>
          <w:p w:rsidR="00A506A3" w:rsidRDefault="00A506A3" w:rsidP="00EE2148" w:rsidRPr="00F878C9">
            <w:pPr>
              <w:rPr>
                <w:sz w:val="24"/>
                <w:szCs w:val="24"/>
              </w:rPr>
            </w:pPr>
            <w:r w:rsidRPr="00F878C9">
              <w:rPr>
                <w:sz w:val="24"/>
                <w:szCs w:val="24"/>
              </w:rPr>
              <w:t>192</w:t>
            </w:r>
          </w:p>
        </w:tc>
        <w:tc>
          <w:tcPr>
            <w:tcW w:w="1440" w:type="dxa"/>
          </w:tcPr>
          <w:p w:rsidR="00A506A3" w:rsidRDefault="00A506A3" w:rsidP="00EE2148" w:rsidRPr="00F878C9">
            <w:pPr>
              <w:rPr>
                <w:sz w:val="24"/>
                <w:szCs w:val="24"/>
              </w:rPr>
            </w:pPr>
            <w:r w:rsidRPr="00F878C9">
              <w:rPr>
                <w:sz w:val="24"/>
                <w:szCs w:val="24"/>
              </w:rPr>
              <w:t>13</w:t>
            </w:r>
          </w:p>
        </w:tc>
        <w:tc>
          <w:tcPr>
            <w:tcW w:w="1440" w:type="dxa"/>
          </w:tcPr>
          <w:p w:rsidR="00A506A3" w:rsidRDefault="00A506A3" w:rsidP="00EE2148" w:rsidRPr="00F878C9">
            <w:pPr>
              <w:rPr>
                <w:sz w:val="24"/>
                <w:szCs w:val="24"/>
              </w:rPr>
            </w:pPr>
            <w:r w:rsidRPr="00F878C9">
              <w:rPr>
                <w:sz w:val="24"/>
                <w:szCs w:val="24"/>
              </w:rPr>
              <w:t>86</w:t>
            </w:r>
          </w:p>
        </w:tc>
        <w:tc>
          <w:tcPr>
            <w:tcW w:w="1260" w:type="dxa"/>
          </w:tcPr>
          <w:p w:rsidR="00A506A3" w:rsidRDefault="00A506A3" w:rsidP="00EE2148" w:rsidRPr="00F878C9">
            <w:pPr>
              <w:rPr>
                <w:sz w:val="24"/>
                <w:szCs w:val="24"/>
              </w:rPr>
            </w:pPr>
            <w:r w:rsidRPr="00F878C9">
              <w:rPr>
                <w:sz w:val="24"/>
                <w:szCs w:val="24"/>
              </w:rPr>
              <w:t>6</w:t>
            </w:r>
          </w:p>
        </w:tc>
      </w:tr>
      <w:tr w:rsidR="00A506A3" w:rsidRPr="00F878C9" w:rsidTr="00EE2148">
        <w:tc>
          <w:tcPr>
            <w:tcW w:w="3775" w:type="dxa"/>
          </w:tcPr>
          <w:p w:rsidR="00A506A3" w:rsidRDefault="00A506A3" w:rsidP="00EE2148" w:rsidRPr="00F878C9">
            <w:pPr>
              <w:rPr>
                <w:sz w:val="24"/>
                <w:szCs w:val="24"/>
              </w:rPr>
            </w:pPr>
            <w:r w:rsidRPr="00F878C9">
              <w:rPr>
                <w:sz w:val="24"/>
                <w:szCs w:val="24"/>
              </w:rPr>
              <w:t xml:space="preserve">Library  </w:t>
            </w:r>
          </w:p>
        </w:tc>
        <w:tc>
          <w:tcPr>
            <w:tcW w:w="1530" w:type="dxa"/>
          </w:tcPr>
          <w:p w:rsidR="00A506A3" w:rsidRDefault="00A506A3" w:rsidP="00EE2148" w:rsidRPr="00F878C9">
            <w:pPr>
              <w:rPr>
                <w:sz w:val="24"/>
                <w:szCs w:val="24"/>
              </w:rPr>
            </w:pPr>
            <w:r w:rsidRPr="00F878C9">
              <w:rPr>
                <w:sz w:val="24"/>
                <w:szCs w:val="24"/>
              </w:rPr>
              <w:t>18</w:t>
            </w:r>
          </w:p>
        </w:tc>
        <w:tc>
          <w:tcPr>
            <w:tcW w:w="1440" w:type="dxa"/>
          </w:tcPr>
          <w:p w:rsidR="00A506A3" w:rsidRDefault="00A506A3" w:rsidP="00EE2148" w:rsidRPr="00F878C9">
            <w:pPr>
              <w:rPr>
                <w:sz w:val="24"/>
                <w:szCs w:val="24"/>
              </w:rPr>
            </w:pPr>
            <w:r w:rsidRPr="00F878C9">
              <w:rPr>
                <w:sz w:val="24"/>
                <w:szCs w:val="24"/>
              </w:rPr>
              <w:t xml:space="preserve">1 </w:t>
            </w:r>
          </w:p>
        </w:tc>
        <w:tc>
          <w:tcPr>
            <w:tcW w:w="1440" w:type="dxa"/>
          </w:tcPr>
          <w:p w:rsidR="00A506A3" w:rsidRDefault="00A506A3" w:rsidP="00EE2148" w:rsidRPr="00F878C9">
            <w:pPr>
              <w:rPr>
                <w:sz w:val="24"/>
                <w:szCs w:val="24"/>
              </w:rPr>
            </w:pPr>
            <w:r w:rsidRPr="00F878C9">
              <w:rPr>
                <w:sz w:val="24"/>
                <w:szCs w:val="24"/>
              </w:rPr>
              <w:t>4</w:t>
            </w:r>
          </w:p>
        </w:tc>
        <w:tc>
          <w:tcPr>
            <w:tcW w:w="1260" w:type="dxa"/>
          </w:tcPr>
          <w:p w:rsidR="00A506A3" w:rsidRDefault="00A506A3" w:rsidP="00EE2148" w:rsidRPr="00F878C9">
            <w:pPr>
              <w:rPr>
                <w:sz w:val="24"/>
                <w:szCs w:val="24"/>
              </w:rPr>
            </w:pPr>
            <w:r w:rsidRPr="00F878C9">
              <w:rPr>
                <w:sz w:val="24"/>
                <w:szCs w:val="24"/>
              </w:rPr>
              <w:t>1</w:t>
            </w:r>
          </w:p>
        </w:tc>
      </w:tr>
      <w:tr w:rsidR="00A506A3" w:rsidRPr="00F878C9" w:rsidTr="00EE2148">
        <w:tc>
          <w:tcPr>
            <w:tcW w:w="3775" w:type="dxa"/>
          </w:tcPr>
          <w:p w:rsidR="00A506A3" w:rsidRDefault="00A506A3" w:rsidP="00EE2148" w:rsidRPr="00F878C9">
            <w:pPr>
              <w:rPr>
                <w:sz w:val="24"/>
                <w:szCs w:val="24"/>
              </w:rPr>
            </w:pPr>
            <w:r w:rsidRPr="00F878C9">
              <w:rPr>
                <w:sz w:val="24"/>
                <w:szCs w:val="24"/>
              </w:rPr>
              <w:t xml:space="preserve">Liberty Campus </w:t>
            </w:r>
          </w:p>
        </w:tc>
        <w:tc>
          <w:tcPr>
            <w:tcW w:w="1530" w:type="dxa"/>
          </w:tcPr>
          <w:p w:rsidR="00A506A3" w:rsidRDefault="00A506A3" w:rsidP="00EE2148" w:rsidRPr="00F878C9">
            <w:pPr>
              <w:rPr>
                <w:sz w:val="24"/>
                <w:szCs w:val="24"/>
              </w:rPr>
            </w:pPr>
          </w:p>
        </w:tc>
        <w:tc>
          <w:tcPr>
            <w:tcW w:w="1440" w:type="dxa"/>
          </w:tcPr>
          <w:p w:rsidR="00A506A3" w:rsidRDefault="00A506A3" w:rsidP="00EE2148" w:rsidRPr="00F878C9">
            <w:pPr>
              <w:rPr>
                <w:sz w:val="24"/>
                <w:szCs w:val="24"/>
              </w:rPr>
            </w:pPr>
            <w:r w:rsidRPr="00F878C9">
              <w:rPr>
                <w:sz w:val="24"/>
                <w:szCs w:val="24"/>
              </w:rPr>
              <w:t>1</w:t>
            </w:r>
          </w:p>
        </w:tc>
        <w:tc>
          <w:tcPr>
            <w:tcW w:w="1440" w:type="dxa"/>
          </w:tcPr>
          <w:p w:rsidR="00A506A3" w:rsidRDefault="00A506A3" w:rsidP="00EE2148" w:rsidRPr="00F878C9">
            <w:pPr>
              <w:rPr>
                <w:sz w:val="24"/>
                <w:szCs w:val="24"/>
              </w:rPr>
            </w:pPr>
          </w:p>
        </w:tc>
        <w:tc>
          <w:tcPr>
            <w:tcW w:w="1260" w:type="dxa"/>
          </w:tcPr>
          <w:p w:rsidR="00A506A3" w:rsidRDefault="00A506A3" w:rsidP="00EE2148" w:rsidRPr="00F878C9">
            <w:pPr>
              <w:rPr>
                <w:sz w:val="24"/>
                <w:szCs w:val="24"/>
              </w:rPr>
            </w:pPr>
          </w:p>
        </w:tc>
      </w:tr>
      <w:tr w:rsidR="00A506A3" w:rsidRPr="00F878C9" w:rsidTr="00EE2148">
        <w:trPr>
          <w:trHeight w:val="278"/>
        </w:trPr>
        <w:tc>
          <w:tcPr>
            <w:shd w:fill="A6A6A6" w:color="auto" w:themeFill="background1" w:themeFillShade="A6" w:val="clear"/>
            <w:tcW w:w="3775" w:type="dxa"/>
          </w:tcPr>
          <w:p w:rsidR="00A506A3" w:rsidRDefault="00A506A3" w:rsidP="00EE2148" w:rsidRPr="00F878C9">
            <w:pPr>
              <w:rPr>
                <w:b/>
                <w:sz w:val="24"/>
                <w:szCs w:val="24"/>
              </w:rPr>
            </w:pPr>
            <w:r w:rsidRPr="00F878C9">
              <w:rPr>
                <w:b/>
                <w:sz w:val="24"/>
                <w:szCs w:val="24"/>
              </w:rPr>
              <w:t>TOTAL</w:t>
            </w:r>
          </w:p>
        </w:tc>
        <w:tc>
          <w:tcPr>
            <w:shd w:fill="A6A6A6" w:color="auto" w:themeFill="background1" w:themeFillShade="A6" w:val="clear"/>
            <w:tcW w:w="1530" w:type="dxa"/>
          </w:tcPr>
          <w:p w:rsidR="00A506A3" w:rsidRDefault="00A506A3" w:rsidP="00EE2148" w:rsidRPr="00F878C9">
            <w:pPr>
              <w:rPr>
                <w:sz w:val="24"/>
                <w:szCs w:val="24"/>
              </w:rPr>
            </w:pPr>
            <w:r w:rsidRPr="00F878C9">
              <w:rPr>
                <w:sz w:val="24"/>
                <w:szCs w:val="24"/>
              </w:rPr>
              <w:t>853</w:t>
            </w:r>
          </w:p>
        </w:tc>
        <w:tc>
          <w:tcPr>
            <w:shd w:fill="A6A6A6" w:color="auto" w:themeFill="background1" w:themeFillShade="A6" w:val="clear"/>
            <w:tcW w:w="1440" w:type="dxa"/>
          </w:tcPr>
          <w:p w:rsidR="00A506A3" w:rsidRDefault="00A506A3" w:rsidP="00EE2148" w:rsidRPr="00F878C9">
            <w:pPr>
              <w:rPr>
                <w:sz w:val="24"/>
                <w:szCs w:val="24"/>
              </w:rPr>
            </w:pPr>
            <w:r w:rsidRPr="00F878C9">
              <w:rPr>
                <w:sz w:val="24"/>
                <w:szCs w:val="24"/>
              </w:rPr>
              <w:t>57</w:t>
            </w:r>
          </w:p>
        </w:tc>
        <w:tc>
          <w:tcPr>
            <w:shd w:fill="A6A6A6" w:color="auto" w:themeFill="background1" w:themeFillShade="A6" w:val="clear"/>
            <w:tcW w:w="1440" w:type="dxa"/>
          </w:tcPr>
          <w:p w:rsidR="00A506A3" w:rsidRDefault="00A506A3" w:rsidP="00EE2148" w:rsidRPr="00F878C9">
            <w:pPr>
              <w:rPr>
                <w:sz w:val="24"/>
                <w:szCs w:val="24"/>
              </w:rPr>
            </w:pPr>
            <w:r w:rsidRPr="00F878C9">
              <w:rPr>
                <w:sz w:val="24"/>
                <w:szCs w:val="24"/>
              </w:rPr>
              <w:t>314</w:t>
            </w:r>
          </w:p>
        </w:tc>
        <w:tc>
          <w:tcPr>
            <w:shd w:fill="A6A6A6" w:color="auto" w:themeFill="background1" w:themeFillShade="A6" w:val="clear"/>
            <w:tcW w:w="1260" w:type="dxa"/>
          </w:tcPr>
          <w:p w:rsidR="00A506A3" w:rsidRDefault="00A506A3" w:rsidP="00EE2148" w:rsidRPr="00F878C9">
            <w:pPr>
              <w:rPr>
                <w:sz w:val="24"/>
                <w:szCs w:val="24"/>
              </w:rPr>
            </w:pPr>
            <w:r w:rsidRPr="00F878C9">
              <w:rPr>
                <w:sz w:val="24"/>
                <w:szCs w:val="24"/>
              </w:rPr>
              <w:t>23</w:t>
            </w:r>
          </w:p>
        </w:tc>
      </w:tr>
    </w:tbl>
    <w:p w:rsidR="00A506A3" w:rsidRDefault="00A506A3" w:rsidP="00A506A3" w:rsidRPr="00F878C9">
      <w:pPr>
        <w:rPr>
          <w:i/>
          <w:sz w:val="24"/>
          <w:szCs w:val="24"/>
        </w:rPr>
      </w:pPr>
      <w:r w:rsidRPr="00F878C9">
        <w:rPr>
          <w:i/>
          <w:sz w:val="24"/>
          <w:szCs w:val="24"/>
        </w:rPr>
        <w:t>*(last revised 10-31-2017)</w:t>
      </w:r>
    </w:p>
    <w:p w:rsidR="00A506A3" w:rsidRDefault="00A506A3" w:rsidP="00A506A3" w:rsidRPr="00F878C9">
      <w:pPr>
        <w:rPr>
          <w:sz w:val="24"/>
          <w:szCs w:val="24"/>
        </w:rPr>
      </w:pPr>
    </w:p>
    <w:p w:rsidR="00A506A3" w:rsidRDefault="00A506A3" w:rsidP="00A506A3">
      <w:r w:rsidRPr="00F878C9">
        <w:rPr>
          <w:sz w:val="24"/>
          <w:szCs w:val="24"/>
        </w:rPr>
        <w:t>Using the apportionment approach would ensure representatives from different locations of the institution and increase collaboration for a unified faculty voice. Additionally</w:t>
      </w:r>
      <w:r>
        <w:rPr>
          <w:sz w:val="24"/>
          <w:szCs w:val="24"/>
        </w:rPr>
        <w:t>, combining senates</w:t>
      </w:r>
      <w:r w:rsidRPr="00F878C9">
        <w:rPr>
          <w:sz w:val="24"/>
          <w:szCs w:val="24"/>
        </w:rPr>
        <w:t xml:space="preserve"> will allow colleges and senate representative’s time to collaborate and integrate as needed. Elections for 2019 will</w:t>
      </w:r>
      <w:r>
        <w:rPr>
          <w:sz w:val="24"/>
          <w:szCs w:val="24"/>
        </w:rPr>
        <w:t xml:space="preserve"> adhere to the</w:t>
      </w:r>
      <w:r w:rsidRPr="00F878C9">
        <w:rPr>
          <w:sz w:val="24"/>
          <w:szCs w:val="24"/>
        </w:rPr>
        <w:t xml:space="preserve"> total</w:t>
      </w:r>
      <w:r>
        <w:rPr>
          <w:sz w:val="24"/>
          <w:szCs w:val="24"/>
        </w:rPr>
        <w:t xml:space="preserve"> number</w:t>
      </w:r>
      <w:r w:rsidRPr="00F878C9">
        <w:rPr>
          <w:sz w:val="24"/>
          <w:szCs w:val="24"/>
        </w:rPr>
        <w:t xml:space="preserve"> faculty for</w:t>
      </w:r>
      <w:r>
        <w:rPr>
          <w:sz w:val="24"/>
          <w:szCs w:val="24"/>
        </w:rPr>
        <w:t xml:space="preserve"> the</w:t>
      </w:r>
      <w:r w:rsidRPr="00F878C9">
        <w:rPr>
          <w:sz w:val="24"/>
          <w:szCs w:val="24"/>
        </w:rPr>
        <w:t xml:space="preserve"> entire college across both campuses </w:t>
      </w:r>
      <w:r>
        <w:rPr>
          <w:sz w:val="24"/>
          <w:szCs w:val="24"/>
        </w:rPr>
        <w:t xml:space="preserve">for </w:t>
      </w:r>
      <w:r w:rsidRPr="00F878C9">
        <w:rPr>
          <w:sz w:val="24"/>
          <w:szCs w:val="24"/>
        </w:rPr>
        <w:t>apportionment</w:t>
      </w:r>
      <w:r>
        <w:rPr>
          <w:sz w:val="24"/>
          <w:szCs w:val="24"/>
        </w:rPr>
        <w:t xml:space="preserve"> determination of</w:t>
      </w:r>
      <w:r w:rsidRPr="00F878C9">
        <w:rPr>
          <w:sz w:val="24"/>
          <w:szCs w:val="24"/>
        </w:rPr>
        <w:t xml:space="preserve"> faculty senate members</w:t>
      </w:r>
      <w:r>
        <w:rPr>
          <w:sz w:val="24"/>
          <w:szCs w:val="24"/>
        </w:rPr>
        <w:t xml:space="preserve">. </w:t>
      </w:r>
    </w:p>
    <w:p w:rsidR="00AB1089" w:rsidRDefault="00AB1089">
      <w:bookmarkStart w:id="0" w:name="_GoBack"/>
      <w:bookmarkEnd w:id="0"/>
    </w:p>
    <w:sectPr w:rsidR="00AB1089">
      <w:docGrid w:linePitch="360"/>
      <w:pgSz w:w="12240" w:h="15840"/>
      <w:pgMar w:left="1440" w:right="144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9385A52"/>
    <w:tmpl w:val="219CA9F4"/>
    <w:lvl w:ilvl="0" w:tplc="0409000F">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360A6-96A0-45D9-AC72-CC1412F76D64}"/>
  <w:rsids>
    <w:rsidRoot val="00A506A3"/>
    <w:rsid val="003A2AA8"/>
    <w:rsid val="00A506A3"/>
    <w:rsid val="00AB1089"/>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docDefaults>
    <w:rPrDefault>
      <w:rPr>
        <w:lang w:val="en-US" w:eastAsia="en-US" w:bidi="ar-SA"/>
        <w:rFonts w:ascii="Times New Roman" w:cs="Times New Roman" w:eastAsia="Times New Roman" w:hAnsi="Times New Roma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6A3"/>
    <w:pPr>
      <w:autoSpaceDE w:val="0"/>
      <w:autoSpaceDN w:val="0"/>
    </w:pPr>
  </w:style>
  <w:style w:type="paragraph" w:styleId="Heading1">
    <w:name w:val="Heading 1"/>
    <w:qFormat/>
    <w:basedOn w:val="Normal"/>
    <w:next w:val="Normal"/>
    <w:link w:val="Heading1Char"/>
    <w:rsid w:val="003A2AA8"/>
    <w:pPr>
      <w:keepNext/>
      <w:outlineLvl w:val="0"/>
    </w:pPr>
    <w:rPr>
      <w:b/>
      <w:u w:val="single"/>
      <w:sz w:val="28"/>
    </w:rPr>
  </w:style>
  <w:style w:type="paragraph" w:styleId="Heading2">
    <w:name w:val="Heading 2"/>
    <w:qFormat/>
    <w:basedOn w:val="Normal"/>
    <w:next w:val="Normal"/>
    <w:link w:val="Heading2Char"/>
    <w:rsid w:val="003A2AA8"/>
    <w:pPr>
      <w:keepNext/>
      <w:outlineLvl w:val="1"/>
    </w:pPr>
    <w:rPr>
      <w:b/>
    </w:rPr>
  </w:style>
  <w:style w:type="paragraph" w:styleId="Heading3">
    <w:name w:val="Heading 3"/>
    <w:qFormat/>
    <w:basedOn w:val="Normal"/>
    <w:next w:val="Normal"/>
    <w:link w:val="Heading3Char"/>
    <w:rsid w:val="003A2AA8"/>
    <w:pPr>
      <w:keepNext/>
      <w:outlineLvl w:val="2"/>
      <w:jc w:val="center"/>
    </w:pPr>
    <w:rPr>
      <w:b/>
      <w:sz w:val="24"/>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eading1Char">
    <w:name w:val="Heading 1 Char"/>
    <w:basedOn w:val="DefaultParagraphFont"/>
    <w:link w:val="Heading1"/>
    <w:rsid w:val="003A2AA8"/>
    <w:rPr>
      <w:b/>
      <w:u w:val="single"/>
      <w:sz w:val="28"/>
    </w:rPr>
  </w:style>
  <w:style w:type="character" w:styleId="Heading2Char">
    <w:name w:val="Heading 2 Char"/>
    <w:basedOn w:val="DefaultParagraphFont"/>
    <w:link w:val="Heading2"/>
    <w:rsid w:val="003A2AA8"/>
    <w:rPr>
      <w:b/>
    </w:rPr>
  </w:style>
  <w:style w:type="character" w:styleId="Heading3Char">
    <w:name w:val="Heading 3 Char"/>
    <w:basedOn w:val="DefaultParagraphFont"/>
    <w:link w:val="Heading3"/>
    <w:rsid w:val="003A2AA8"/>
    <w:rPr>
      <w:b/>
      <w:sz w:val="24"/>
    </w:rPr>
  </w:style>
  <w:style w:type="paragraph" w:styleId="Caption">
    <w:name w:val="caption"/>
    <w:qFormat/>
    <w:basedOn w:val="Normal"/>
    <w:next w:val="Normal"/>
    <w:rsid w:val="003A2AA8"/>
    <w:rPr>
      <w:i/>
    </w:rPr>
  </w:style>
  <w:style w:type="paragraph" w:styleId="ListParagraph">
    <w:name w:val="List Paragraph"/>
    <w:qFormat/>
    <w:basedOn w:val="Normal"/>
    <w:uiPriority w:val="34"/>
    <w:rsid w:val="00A506A3"/>
    <w:pPr>
      <w:ind w:left="720"/>
      <w:contextualSpacing/>
    </w:pPr>
  </w:style>
  <w:style w:type="character" w:styleId="Hyperlink">
    <w:name w:val="Hyperlink"/>
    <w:basedOn w:val="DefaultParagraphFont"/>
    <w:uiPriority w:val="99"/>
    <w:unhideWhenUsed/>
    <w:rsid w:val="00A506A3"/>
    <w:rPr>
      <w:u w:val="single"/>
      <w:color w:val="0563C1"/>
    </w:rPr>
  </w:style>
  <w:style w:type="table" w:styleId="TableGrid">
    <w:name w:val="Table Grid"/>
    <w:basedOn w:val="TableNormal"/>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39"/>
    <w:rsid w:val="00A506A3"/>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solidation.georgiasouthern.edu/wp-content/uploads/August-7.Minutes.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Meca Williams-Johnson</dc:creator>
  <cp:keywords/>
  <dc:description/>
  <cp:lastModifiedBy>Meca Williams-Johnson</cp:lastModifiedBy>
  <cp:revision>1</cp:revision>
  <dcterms:created xsi:type="dcterms:W3CDTF">2017-11-03T13:23:00Z</dcterms:created>
  <dcterms:modified xsi:type="dcterms:W3CDTF">2017-11-03T13:26:00Z</dcterms:modified>
</cp:coreProperties>
</file>